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 w:val="36"/>
          <w:szCs w:val="36"/>
          <w14:textFill>
            <w14:solidFill>
              <w14:schemeClr w14:val="tx1"/>
            </w14:solidFill>
          </w14:textFill>
        </w:rPr>
      </w:pPr>
      <w:bookmarkStart w:id="0" w:name="OLE_LINK9"/>
      <w:r>
        <w:rPr>
          <w:rFonts w:hint="eastAsia" w:asciiTheme="minorEastAsia" w:hAnsiTheme="minorEastAsia" w:eastAsiaTheme="minorEastAsia"/>
          <w:color w:val="000000" w:themeColor="text1"/>
          <w:sz w:val="36"/>
          <w:szCs w:val="36"/>
          <w:u w:val="single"/>
          <w14:textFill>
            <w14:solidFill>
              <w14:schemeClr w14:val="tx1"/>
            </w14:solidFill>
          </w14:textFill>
        </w:rPr>
        <w:t xml:space="preserve">       </w:t>
      </w:r>
      <w:r>
        <w:rPr>
          <w:rFonts w:hint="eastAsia" w:asciiTheme="minorEastAsia" w:hAnsiTheme="minorEastAsia" w:eastAsiaTheme="minorEastAsia"/>
          <w:color w:val="000000" w:themeColor="text1"/>
          <w:sz w:val="36"/>
          <w:szCs w:val="36"/>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6"/>
          <w:szCs w:val="36"/>
          <w:u w:val="single"/>
          <w14:textFill>
            <w14:solidFill>
              <w14:schemeClr w14:val="tx1"/>
            </w14:solidFill>
          </w14:textFill>
        </w:rPr>
        <w:t xml:space="preserve"> </w:t>
      </w:r>
      <w:r>
        <w:rPr>
          <w:rFonts w:hint="eastAsia" w:asciiTheme="minorEastAsia" w:hAnsiTheme="minorEastAsia" w:eastAsiaTheme="minorEastAsia"/>
          <w:color w:val="000000" w:themeColor="text1"/>
          <w:sz w:val="36"/>
          <w:szCs w:val="36"/>
          <w:u w:val="single"/>
          <w:lang w:val="en-US" w:eastAsia="zh-CN"/>
          <w14:textFill>
            <w14:solidFill>
              <w14:schemeClr w14:val="tx1"/>
            </w14:solidFill>
          </w14:textFill>
        </w:rPr>
        <w:t>羊口河北湿地供水管道工程</w:t>
      </w:r>
      <w:r>
        <w:rPr>
          <w:rFonts w:hint="eastAsia" w:asciiTheme="minorEastAsia" w:hAnsiTheme="minorEastAsia" w:eastAsiaTheme="minorEastAsia"/>
          <w:color w:val="000000" w:themeColor="text1"/>
          <w:sz w:val="36"/>
          <w:szCs w:val="36"/>
          <w:u w:val="single"/>
          <w14:textFill>
            <w14:solidFill>
              <w14:schemeClr w14:val="tx1"/>
            </w14:solidFill>
          </w14:textFill>
        </w:rPr>
        <w:t xml:space="preserve">        </w:t>
      </w:r>
      <w:r>
        <w:rPr>
          <w:rFonts w:hint="eastAsia" w:asciiTheme="minorEastAsia" w:hAnsiTheme="minorEastAsia" w:eastAsiaTheme="minorEastAsia"/>
          <w:color w:val="000000" w:themeColor="text1"/>
          <w:sz w:val="36"/>
          <w:szCs w:val="36"/>
          <w14:textFill>
            <w14:solidFill>
              <w14:schemeClr w14:val="tx1"/>
            </w14:solidFill>
          </w14:textFill>
        </w:rPr>
        <w:t>项目</w:t>
      </w:r>
    </w:p>
    <w:bookmarkEnd w:id="0"/>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 w:val="84"/>
          <w:szCs w:val="84"/>
          <w14:textFill>
            <w14:solidFill>
              <w14:schemeClr w14:val="tx1"/>
            </w14:solidFill>
          </w14:textFill>
        </w:rPr>
      </w:pPr>
      <w:r>
        <w:rPr>
          <w:rFonts w:hint="eastAsia" w:asciiTheme="minorEastAsia" w:hAnsiTheme="minorEastAsia" w:eastAsiaTheme="minorEastAsia"/>
          <w:color w:val="000000" w:themeColor="text1"/>
          <w:sz w:val="84"/>
          <w:szCs w:val="84"/>
          <w14:textFill>
            <w14:solidFill>
              <w14:schemeClr w14:val="tx1"/>
            </w14:solidFill>
          </w14:textFill>
        </w:rPr>
        <w:t>询</w:t>
      </w:r>
      <w:r>
        <w:rPr>
          <w:rFonts w:hint="eastAsia" w:asciiTheme="minorEastAsia" w:hAnsiTheme="minorEastAsia" w:eastAsiaTheme="minorEastAsia"/>
          <w:color w:val="000000" w:themeColor="text1"/>
          <w:sz w:val="32"/>
          <w:szCs w:val="32"/>
          <w14:textFill>
            <w14:solidFill>
              <w14:schemeClr w14:val="tx1"/>
            </w14:solidFill>
          </w14:textFill>
        </w:rPr>
        <w:t xml:space="preserve"> </w:t>
      </w:r>
      <w:r>
        <w:rPr>
          <w:rFonts w:hint="eastAsia" w:asciiTheme="minorEastAsia" w:hAnsiTheme="minorEastAsia" w:eastAsiaTheme="minorEastAsia"/>
          <w:color w:val="000000" w:themeColor="text1"/>
          <w:sz w:val="84"/>
          <w:szCs w:val="84"/>
          <w14:textFill>
            <w14:solidFill>
              <w14:schemeClr w14:val="tx1"/>
            </w14:solidFill>
          </w14:textFill>
        </w:rPr>
        <w:t>比</w:t>
      </w:r>
      <w:r>
        <w:rPr>
          <w:rFonts w:hint="eastAsia" w:asciiTheme="minorEastAsia" w:hAnsiTheme="minorEastAsia" w:eastAsiaTheme="minorEastAsia"/>
          <w:color w:val="000000" w:themeColor="text1"/>
          <w:sz w:val="32"/>
          <w:szCs w:val="32"/>
          <w14:textFill>
            <w14:solidFill>
              <w14:schemeClr w14:val="tx1"/>
            </w14:solidFill>
          </w14:textFill>
        </w:rPr>
        <w:t xml:space="preserve"> </w:t>
      </w:r>
      <w:r>
        <w:rPr>
          <w:rFonts w:hint="eastAsia" w:asciiTheme="minorEastAsia" w:hAnsiTheme="minorEastAsia" w:eastAsiaTheme="minorEastAsia"/>
          <w:color w:val="000000" w:themeColor="text1"/>
          <w:sz w:val="84"/>
          <w:szCs w:val="84"/>
          <w14:textFill>
            <w14:solidFill>
              <w14:schemeClr w14:val="tx1"/>
            </w14:solidFill>
          </w14:textFill>
        </w:rPr>
        <w:t>文</w:t>
      </w:r>
      <w:r>
        <w:rPr>
          <w:rFonts w:hint="eastAsia" w:asciiTheme="minorEastAsia" w:hAnsiTheme="minorEastAsia" w:eastAsiaTheme="minorEastAsia"/>
          <w:color w:val="000000" w:themeColor="text1"/>
          <w:sz w:val="32"/>
          <w:szCs w:val="32"/>
          <w14:textFill>
            <w14:solidFill>
              <w14:schemeClr w14:val="tx1"/>
            </w14:solidFill>
          </w14:textFill>
        </w:rPr>
        <w:t xml:space="preserve"> </w:t>
      </w:r>
      <w:r>
        <w:rPr>
          <w:rFonts w:hint="eastAsia" w:asciiTheme="minorEastAsia" w:hAnsiTheme="minorEastAsia" w:eastAsiaTheme="minorEastAsia"/>
          <w:color w:val="000000" w:themeColor="text1"/>
          <w:sz w:val="84"/>
          <w:szCs w:val="84"/>
          <w14:textFill>
            <w14:solidFill>
              <w14:schemeClr w14:val="tx1"/>
            </w14:solidFill>
          </w14:textFill>
        </w:rPr>
        <w:t>件</w:t>
      </w: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rFonts w:asciiTheme="minorEastAsia" w:hAnsiTheme="minorEastAsia" w:eastAsiaTheme="minorEastAsia"/>
          <w:color w:val="000000" w:themeColor="text1"/>
          <w:szCs w:val="28"/>
          <w14:textFill>
            <w14:solidFill>
              <w14:schemeClr w14:val="tx1"/>
            </w14:solidFill>
          </w14:textFill>
        </w:rPr>
      </w:pPr>
    </w:p>
    <w:p>
      <w:pPr>
        <w:spacing w:line="360" w:lineRule="auto"/>
        <w:jc w:val="center"/>
        <w:rPr>
          <w:color w:val="000000" w:themeColor="text1"/>
          <w14:textFill>
            <w14:solidFill>
              <w14:schemeClr w14:val="tx1"/>
            </w14:solidFill>
          </w14:textFill>
        </w:rPr>
      </w:pPr>
    </w:p>
    <w:p>
      <w:pPr>
        <w:pStyle w:val="24"/>
        <w:pBdr>
          <w:bottom w:val="none" w:color="auto" w:sz="0" w:space="0"/>
        </w:pBdr>
        <w:snapToGrid/>
        <w:spacing w:line="360" w:lineRule="auto"/>
        <w:ind w:right="-57" w:firstLine="1280" w:firstLineChars="400"/>
        <w:jc w:val="left"/>
        <w:rPr>
          <w:rFonts w:hint="default" w:asciiTheme="minorEastAsia" w:hAnsiTheme="minorEastAsia" w:eastAsiaTheme="minorEastAsia"/>
          <w:color w:val="000000" w:themeColor="text1"/>
          <w:sz w:val="32"/>
          <w:u w:val="single"/>
          <w:lang w:val="en-US" w:eastAsia="zh-CN"/>
          <w14:textFill>
            <w14:solidFill>
              <w14:schemeClr w14:val="tx1"/>
            </w14:solidFill>
          </w14:textFill>
        </w:rPr>
      </w:pPr>
      <w:r>
        <w:rPr>
          <w:rFonts w:hint="eastAsia" w:asciiTheme="minorEastAsia" w:hAnsiTheme="minorEastAsia" w:eastAsiaTheme="minorEastAsia"/>
          <w:color w:val="000000" w:themeColor="text1"/>
          <w:sz w:val="32"/>
          <w14:textFill>
            <w14:solidFill>
              <w14:schemeClr w14:val="tx1"/>
            </w14:solidFill>
          </w14:textFill>
        </w:rPr>
        <w:t>项目编号：</w:t>
      </w:r>
      <w:r>
        <w:rPr>
          <w:rFonts w:hint="eastAsia" w:asciiTheme="minorEastAsia" w:hAnsiTheme="minorEastAsia" w:eastAsiaTheme="minorEastAsia"/>
          <w:color w:val="000000" w:themeColor="text1"/>
          <w:sz w:val="32"/>
          <w:u w:val="single"/>
          <w14:textFill>
            <w14:solidFill>
              <w14:schemeClr w14:val="tx1"/>
            </w14:solidFill>
          </w14:textFill>
        </w:rPr>
        <w:t xml:space="preserve"> </w:t>
      </w:r>
      <w:r>
        <w:rPr>
          <w:rFonts w:hint="eastAsia" w:asciiTheme="minorEastAsia" w:hAnsiTheme="minorEastAsia" w:eastAsiaTheme="minorEastAsia"/>
          <w:color w:val="000000" w:themeColor="text1"/>
          <w:sz w:val="32"/>
          <w:u w:val="single"/>
          <w:lang w:val="en-US" w:eastAsia="zh-CN"/>
          <w14:textFill>
            <w14:solidFill>
              <w14:schemeClr w14:val="tx1"/>
            </w14:solidFill>
          </w14:textFill>
        </w:rPr>
        <w:t xml:space="preserve">SDQYSGGS202507                        </w:t>
      </w:r>
    </w:p>
    <w:p>
      <w:pPr>
        <w:pStyle w:val="24"/>
        <w:pBdr>
          <w:bottom w:val="none" w:color="auto" w:sz="0" w:space="0"/>
        </w:pBdr>
        <w:snapToGrid/>
        <w:spacing w:line="360" w:lineRule="auto"/>
        <w:ind w:right="-55" w:firstLine="1280" w:firstLineChars="400"/>
        <w:jc w:val="left"/>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14:textFill>
            <w14:solidFill>
              <w14:schemeClr w14:val="tx1"/>
            </w14:solidFill>
          </w14:textFill>
        </w:rPr>
        <w:t>采 购 人：</w:t>
      </w:r>
      <w:r>
        <w:rPr>
          <w:rFonts w:hint="eastAsia" w:asciiTheme="minorEastAsia" w:hAnsiTheme="minorEastAsia" w:eastAsiaTheme="minorEastAsia"/>
          <w:color w:val="000000" w:themeColor="text1"/>
          <w:sz w:val="32"/>
          <w:u w:val="single"/>
          <w14:textFill>
            <w14:solidFill>
              <w14:schemeClr w14:val="tx1"/>
            </w14:solidFill>
          </w14:textFill>
        </w:rPr>
        <w:t xml:space="preserve">  </w:t>
      </w:r>
      <w:r>
        <w:rPr>
          <w:rFonts w:hint="eastAsia" w:asciiTheme="minorEastAsia" w:hAnsiTheme="minorEastAsia" w:eastAsiaTheme="minorEastAsia"/>
          <w:color w:val="000000" w:themeColor="text1"/>
          <w:sz w:val="32"/>
          <w:u w:val="single"/>
          <w:lang w:val="en-US" w:eastAsia="zh-CN"/>
          <w14:textFill>
            <w14:solidFill>
              <w14:schemeClr w14:val="tx1"/>
            </w14:solidFill>
          </w14:textFill>
        </w:rPr>
        <w:t>寿光南水北调供水有限公司</w:t>
      </w:r>
      <w:r>
        <w:rPr>
          <w:rFonts w:hint="eastAsia" w:asciiTheme="minorEastAsia" w:hAnsiTheme="minorEastAsia" w:eastAsiaTheme="minorEastAsia"/>
          <w:color w:val="000000" w:themeColor="text1"/>
          <w:sz w:val="32"/>
          <w:u w:val="single"/>
          <w14:textFill>
            <w14:solidFill>
              <w14:schemeClr w14:val="tx1"/>
            </w14:solidFill>
          </w14:textFill>
        </w:rPr>
        <w:t xml:space="preserve"> </w:t>
      </w:r>
    </w:p>
    <w:p>
      <w:pPr>
        <w:pStyle w:val="24"/>
        <w:pBdr>
          <w:bottom w:val="none" w:color="auto" w:sz="0" w:space="0"/>
        </w:pBdr>
        <w:snapToGrid/>
        <w:spacing w:line="360" w:lineRule="auto"/>
        <w:ind w:right="-55" w:firstLine="1280" w:firstLineChars="400"/>
        <w:jc w:val="left"/>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14:textFill>
            <w14:solidFill>
              <w14:schemeClr w14:val="tx1"/>
            </w14:solidFill>
          </w14:textFill>
        </w:rPr>
        <w:t>日    期：</w:t>
      </w:r>
      <w:r>
        <w:rPr>
          <w:rFonts w:hint="eastAsia" w:asciiTheme="minorEastAsia" w:hAnsiTheme="minorEastAsia" w:eastAsiaTheme="minorEastAsia"/>
          <w:color w:val="000000" w:themeColor="text1"/>
          <w:sz w:val="32"/>
          <w:u w:val="single"/>
          <w14:textFill>
            <w14:solidFill>
              <w14:schemeClr w14:val="tx1"/>
            </w14:solidFill>
          </w14:textFill>
        </w:rPr>
        <w:t xml:space="preserve"> </w:t>
      </w:r>
      <w:r>
        <w:rPr>
          <w:rFonts w:hint="eastAsia" w:asciiTheme="minorEastAsia" w:hAnsiTheme="minorEastAsia" w:eastAsiaTheme="minorEastAsia"/>
          <w:color w:val="000000" w:themeColor="text1"/>
          <w:sz w:val="32"/>
          <w:u w:val="single"/>
          <w:lang w:val="en-US" w:eastAsia="zh-CN"/>
          <w14:textFill>
            <w14:solidFill>
              <w14:schemeClr w14:val="tx1"/>
            </w14:solidFill>
          </w14:textFill>
        </w:rPr>
        <w:t>2025</w:t>
      </w:r>
      <w:r>
        <w:rPr>
          <w:rFonts w:hint="eastAsia" w:asciiTheme="minorEastAsia" w:hAnsiTheme="minorEastAsia" w:eastAsiaTheme="minorEastAsia"/>
          <w:color w:val="000000" w:themeColor="text1"/>
          <w:sz w:val="32"/>
          <w:u w:val="single"/>
          <w14:textFill>
            <w14:solidFill>
              <w14:schemeClr w14:val="tx1"/>
            </w14:solidFill>
          </w14:textFill>
        </w:rPr>
        <w:t xml:space="preserve"> </w:t>
      </w:r>
      <w:r>
        <w:rPr>
          <w:rFonts w:hint="eastAsia" w:asciiTheme="minorEastAsia" w:hAnsiTheme="minorEastAsia" w:eastAsiaTheme="minorEastAsia"/>
          <w:color w:val="000000" w:themeColor="text1"/>
          <w:sz w:val="32"/>
          <w14:textFill>
            <w14:solidFill>
              <w14:schemeClr w14:val="tx1"/>
            </w14:solidFill>
          </w14:textFill>
        </w:rPr>
        <w:t>年</w:t>
      </w:r>
      <w:r>
        <w:rPr>
          <w:rFonts w:hint="eastAsia" w:asciiTheme="minorEastAsia" w:hAnsiTheme="minorEastAsia" w:eastAsiaTheme="minorEastAsia"/>
          <w:color w:val="000000" w:themeColor="text1"/>
          <w:sz w:val="32"/>
          <w:u w:val="single"/>
          <w14:textFill>
            <w14:solidFill>
              <w14:schemeClr w14:val="tx1"/>
            </w14:solidFill>
          </w14:textFill>
        </w:rPr>
        <w:t xml:space="preserve"> </w:t>
      </w:r>
      <w:r>
        <w:rPr>
          <w:rFonts w:hint="eastAsia" w:asciiTheme="minorEastAsia" w:hAnsiTheme="minorEastAsia" w:eastAsiaTheme="minorEastAsia"/>
          <w:color w:val="000000" w:themeColor="text1"/>
          <w:sz w:val="32"/>
          <w:u w:val="single"/>
          <w:lang w:val="en-US" w:eastAsia="zh-CN"/>
          <w14:textFill>
            <w14:solidFill>
              <w14:schemeClr w14:val="tx1"/>
            </w14:solidFill>
          </w14:textFill>
        </w:rPr>
        <w:t>7</w:t>
      </w:r>
      <w:r>
        <w:rPr>
          <w:rFonts w:hint="eastAsia" w:asciiTheme="minorEastAsia" w:hAnsiTheme="minorEastAsia" w:eastAsiaTheme="minorEastAsia"/>
          <w:color w:val="000000" w:themeColor="text1"/>
          <w:sz w:val="32"/>
          <w:u w:val="single"/>
          <w14:textFill>
            <w14:solidFill>
              <w14:schemeClr w14:val="tx1"/>
            </w14:solidFill>
          </w14:textFill>
        </w:rPr>
        <w:t xml:space="preserve"> </w:t>
      </w:r>
      <w:r>
        <w:rPr>
          <w:rFonts w:hint="eastAsia" w:asciiTheme="minorEastAsia" w:hAnsiTheme="minorEastAsia" w:eastAsiaTheme="minorEastAsia"/>
          <w:color w:val="000000" w:themeColor="text1"/>
          <w:sz w:val="32"/>
          <w14:textFill>
            <w14:solidFill>
              <w14:schemeClr w14:val="tx1"/>
            </w14:solidFill>
          </w14:textFill>
        </w:rPr>
        <w:t>月</w:t>
      </w:r>
      <w:r>
        <w:rPr>
          <w:rFonts w:hint="eastAsia" w:asciiTheme="minorEastAsia" w:hAnsiTheme="minorEastAsia" w:eastAsiaTheme="minorEastAsia"/>
          <w:color w:val="000000" w:themeColor="text1"/>
          <w:sz w:val="32"/>
          <w:u w:val="single"/>
          <w14:textFill>
            <w14:solidFill>
              <w14:schemeClr w14:val="tx1"/>
            </w14:solidFill>
          </w14:textFill>
        </w:rPr>
        <w:t xml:space="preserve"> </w:t>
      </w:r>
      <w:r>
        <w:rPr>
          <w:rFonts w:hint="eastAsia" w:asciiTheme="minorEastAsia" w:hAnsiTheme="minorEastAsia" w:eastAsiaTheme="minorEastAsia"/>
          <w:color w:val="000000" w:themeColor="text1"/>
          <w:sz w:val="32"/>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32"/>
          <w:u w:val="single"/>
          <w14:textFill>
            <w14:solidFill>
              <w14:schemeClr w14:val="tx1"/>
            </w14:solidFill>
          </w14:textFill>
        </w:rPr>
        <w:t xml:space="preserve"> </w:t>
      </w:r>
      <w:r>
        <w:rPr>
          <w:rFonts w:hint="eastAsia" w:asciiTheme="minorEastAsia" w:hAnsiTheme="minorEastAsia" w:eastAsiaTheme="minorEastAsia"/>
          <w:color w:val="000000" w:themeColor="text1"/>
          <w:sz w:val="32"/>
          <w14:textFill>
            <w14:solidFill>
              <w14:schemeClr w14:val="tx1"/>
            </w14:solidFill>
          </w14:textFill>
        </w:rPr>
        <w:t>日</w:t>
      </w:r>
    </w:p>
    <w:p>
      <w:pPr>
        <w:spacing w:after="120" w:afterLines="50" w:line="360" w:lineRule="auto"/>
        <w:jc w:val="center"/>
        <w:rPr>
          <w:rFonts w:hint="eastAsia" w:asciiTheme="minorEastAsia" w:hAnsiTheme="minorEastAsia" w:eastAsiaTheme="minorEastAsia"/>
          <w:color w:val="000000" w:themeColor="text1"/>
          <w:sz w:val="32"/>
          <w:szCs w:val="32"/>
          <w14:textFill>
            <w14:solidFill>
              <w14:schemeClr w14:val="tx1"/>
            </w14:solidFill>
          </w14:textFill>
        </w:rPr>
        <w:sectPr>
          <w:footerReference r:id="rId4" w:type="first"/>
          <w:footerReference r:id="rId3" w:type="default"/>
          <w:pgSz w:w="11906" w:h="16838"/>
          <w:pgMar w:top="1418" w:right="1555" w:bottom="1418" w:left="1531" w:header="851" w:footer="992" w:gutter="0"/>
          <w:pgBorders>
            <w:top w:val="none" w:sz="0" w:space="0"/>
            <w:left w:val="none" w:sz="0" w:space="0"/>
            <w:bottom w:val="none" w:sz="0" w:space="0"/>
            <w:right w:val="none" w:sz="0" w:space="0"/>
          </w:pgBorders>
          <w:pgNumType w:start="1"/>
          <w:cols w:space="720" w:num="1"/>
          <w:titlePg/>
          <w:docGrid w:type="lines" w:linePitch="312" w:charSpace="0"/>
        </w:sectPr>
      </w:pPr>
      <w:bookmarkStart w:id="1" w:name="_Toc483583630"/>
    </w:p>
    <w:p>
      <w:pPr>
        <w:spacing w:after="120" w:afterLines="50" w:line="360" w:lineRule="auto"/>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目  录</w:t>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rPr>
          <w:rStyle w:val="42"/>
          <w:color w:val="000000" w:themeColor="text1"/>
          <w14:textFill>
            <w14:solidFill>
              <w14:schemeClr w14:val="tx1"/>
            </w14:solidFill>
          </w14:textFill>
        </w:rPr>
        <w:fldChar w:fldCharType="begin"/>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TOC \o "1-3" \h \z \u </w:instrText>
      </w:r>
      <w:r>
        <w:rPr>
          <w:rStyle w:val="42"/>
          <w:color w:val="000000" w:themeColor="text1"/>
          <w14:textFill>
            <w14:solidFill>
              <w14:schemeClr w14:val="tx1"/>
            </w14:solidFill>
          </w14:textFill>
        </w:rPr>
        <w:fldChar w:fldCharType="separate"/>
      </w:r>
      <w:r>
        <w:fldChar w:fldCharType="begin"/>
      </w:r>
      <w:r>
        <w:instrText xml:space="preserve"> HYPERLINK \l "_Toc188638776" </w:instrText>
      </w:r>
      <w:r>
        <w:fldChar w:fldCharType="separate"/>
      </w:r>
      <w:r>
        <w:rPr>
          <w:rStyle w:val="42"/>
          <w:rFonts w:hint="eastAsia" w:asciiTheme="minorEastAsia" w:hAnsiTheme="minorEastAsia" w:eastAsiaTheme="minorEastAsia"/>
          <w:color w:val="000000" w:themeColor="text1"/>
          <w:sz w:val="21"/>
          <w:szCs w:val="21"/>
          <w14:textFill>
            <w14:solidFill>
              <w14:schemeClr w14:val="tx1"/>
            </w14:solidFill>
          </w14:textFill>
        </w:rPr>
        <w:t>第一章  询比公告</w:t>
      </w:r>
      <w:r>
        <w:rPr>
          <w:rFonts w:hint="eastAsia"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asciiTheme="minorEastAsia" w:hAnsiTheme="minorEastAsia" w:eastAsiaTheme="minorEastAsia"/>
          <w:color w:val="000000" w:themeColor="text1"/>
          <w:sz w:val="21"/>
          <w:szCs w:val="21"/>
          <w14:textFill>
            <w14:solidFill>
              <w14:schemeClr w14:val="tx1"/>
            </w14:solidFill>
          </w14:textFill>
        </w:rPr>
        <w:instrText xml:space="preserve">PAGEREF _Toc188638776 \h</w:instrText>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"_Toc188638777"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1、项目信息</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_Toc188638777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"_Toc188638778"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2、供应商资格要求</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_Toc188638778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"_Toc188638779"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3、询比文件的获取</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_Toc188638779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"_Toc188638780"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4、响应文件的递交</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_Toc188638780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2</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"_Toc188638781"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5、公告发布</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_Toc188638781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2</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"_Toc188638782"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6、联系方式</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_Toc188638782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2</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"_Toc188638789" </w:instrText>
      </w:r>
      <w:r>
        <w:fldChar w:fldCharType="separate"/>
      </w:r>
      <w:r>
        <w:rPr>
          <w:rStyle w:val="42"/>
          <w:rFonts w:hint="eastAsia" w:asciiTheme="minorEastAsia" w:hAnsiTheme="minorEastAsia" w:eastAsiaTheme="minorEastAsia"/>
          <w:color w:val="000000" w:themeColor="text1"/>
          <w:sz w:val="21"/>
          <w:szCs w:val="21"/>
          <w14:textFill>
            <w14:solidFill>
              <w14:schemeClr w14:val="tx1"/>
            </w14:solidFill>
          </w14:textFill>
        </w:rPr>
        <w:t>第二章  供应商须知</w:t>
      </w:r>
      <w:r>
        <w:rPr>
          <w:rFonts w:hint="eastAsia"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asciiTheme="minorEastAsia" w:hAnsiTheme="minorEastAsia" w:eastAsiaTheme="minorEastAsia"/>
          <w:color w:val="000000" w:themeColor="text1"/>
          <w:sz w:val="21"/>
          <w:szCs w:val="21"/>
          <w14:textFill>
            <w14:solidFill>
              <w14:schemeClr w14:val="tx1"/>
            </w14:solidFill>
          </w14:textFill>
        </w:rPr>
        <w:instrText xml:space="preserve">PAGEREF _Toc188638789 \h</w:instrText>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"_Toc188638790"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一、供应商须知</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_Toc188638790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3</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"_Toc188638791"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二、响应文件组成</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_Toc188638791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3</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"_Toc188638792"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三、响应文件制作、密封、标识和递交</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_Toc188638792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4</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"_Toc188638793"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四、评审</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_Toc188638793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4</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"_Toc188638794"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五、响应异常处理原则</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_Toc188638794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5</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"_Toc188638795"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六、采购项目否决</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_Toc188638795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5</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"_Toc188638796"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七、瑕疵滞后发现的处理规则</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_Toc188638796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5</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"_Toc188638797"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八、合同、履约及验收</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_Toc188638797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5</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"_Toc188638798" </w:instrText>
      </w:r>
      <w:r>
        <w:fldChar w:fldCharType="separate"/>
      </w:r>
      <w:r>
        <w:rPr>
          <w:rStyle w:val="42"/>
          <w:rFonts w:hint="eastAsia" w:asciiTheme="minorEastAsia" w:hAnsiTheme="minorEastAsia" w:eastAsiaTheme="minorEastAsia"/>
          <w:color w:val="000000" w:themeColor="text1"/>
          <w:sz w:val="21"/>
          <w:szCs w:val="21"/>
          <w14:textFill>
            <w14:solidFill>
              <w14:schemeClr w14:val="tx1"/>
            </w14:solidFill>
          </w14:textFill>
        </w:rPr>
        <w:t>第三章  评审办法（经评审的最低价法）</w:t>
      </w:r>
      <w:r>
        <w:rPr>
          <w:rFonts w:hint="eastAsia"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asciiTheme="minorEastAsia" w:hAnsiTheme="minorEastAsia" w:eastAsiaTheme="minorEastAsia"/>
          <w:color w:val="000000" w:themeColor="text1"/>
          <w:sz w:val="21"/>
          <w:szCs w:val="21"/>
          <w14:textFill>
            <w14:solidFill>
              <w14:schemeClr w14:val="tx1"/>
            </w14:solidFill>
          </w14:textFill>
        </w:rPr>
        <w:instrText xml:space="preserve">PAGEREF _Toc188638798 \h</w:instrText>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7</w:t>
      </w:r>
      <w:r>
        <w:rPr>
          <w:rFonts w:hint="eastAsia" w:asciiTheme="minorEastAsia" w:hAnsiTheme="minorEastAsia" w:eastAsia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"_Toc188638799"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一、容错机制</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_Toc188638799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7</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"_Toc188638800"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二、评审标准</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_Toc188638800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7</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"_Toc188638804" </w:instrText>
      </w:r>
      <w:r>
        <w:fldChar w:fldCharType="separate"/>
      </w:r>
      <w:r>
        <w:rPr>
          <w:rStyle w:val="42"/>
          <w:rFonts w:hint="eastAsia" w:asciiTheme="minorEastAsia" w:hAnsiTheme="minorEastAsia" w:eastAsiaTheme="minorEastAsia"/>
          <w:color w:val="000000" w:themeColor="text1"/>
          <w:sz w:val="21"/>
          <w:szCs w:val="21"/>
          <w14:textFill>
            <w14:solidFill>
              <w14:schemeClr w14:val="tx1"/>
            </w14:solidFill>
          </w14:textFill>
        </w:rPr>
        <w:t>第四章  合同条款</w:t>
      </w:r>
      <w:r>
        <w:rPr>
          <w:rFonts w:hint="eastAsia"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asciiTheme="minorEastAsia" w:hAnsiTheme="minorEastAsia" w:eastAsiaTheme="minorEastAsia"/>
          <w:color w:val="000000" w:themeColor="text1"/>
          <w:sz w:val="21"/>
          <w:szCs w:val="21"/>
          <w14:textFill>
            <w14:solidFill>
              <w14:schemeClr w14:val="tx1"/>
            </w14:solidFill>
          </w14:textFill>
        </w:rPr>
        <w:instrText xml:space="preserve">PAGEREF _Toc188638804 \h</w:instrText>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10</w:t>
      </w:r>
      <w:r>
        <w:rPr>
          <w:rFonts w:hint="eastAsia" w:asciiTheme="minorEastAsia" w:hAnsiTheme="minorEastAsia" w:eastAsia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"_Toc188638805" </w:instrText>
      </w:r>
      <w:r>
        <w:fldChar w:fldCharType="separate"/>
      </w:r>
      <w:r>
        <w:rPr>
          <w:rStyle w:val="42"/>
          <w:rFonts w:hint="eastAsia" w:asciiTheme="minorEastAsia" w:hAnsiTheme="minorEastAsia" w:eastAsiaTheme="minorEastAsia"/>
          <w:color w:val="000000" w:themeColor="text1"/>
          <w:sz w:val="21"/>
          <w:szCs w:val="21"/>
          <w14:textFill>
            <w14:solidFill>
              <w14:schemeClr w14:val="tx1"/>
            </w14:solidFill>
          </w14:textFill>
        </w:rPr>
        <w:t>第五章  技术标准及要求</w:t>
      </w:r>
      <w:r>
        <w:rPr>
          <w:rFonts w:hint="eastAsia"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asciiTheme="minorEastAsia" w:hAnsiTheme="minorEastAsia" w:eastAsiaTheme="minorEastAsia"/>
          <w:color w:val="000000" w:themeColor="text1"/>
          <w:sz w:val="21"/>
          <w:szCs w:val="21"/>
          <w14:textFill>
            <w14:solidFill>
              <w14:schemeClr w14:val="tx1"/>
            </w14:solidFill>
          </w14:textFill>
        </w:rPr>
        <w:instrText xml:space="preserve">PAGEREF _Toc188638805 \h</w:instrText>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135</w:t>
      </w:r>
      <w:r>
        <w:rPr>
          <w:rFonts w:hint="eastAsia" w:asciiTheme="minorEastAsia" w:hAnsiTheme="minorEastAsia" w:eastAsia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"_Toc188638806" </w:instrText>
      </w:r>
      <w:r>
        <w:fldChar w:fldCharType="separate"/>
      </w:r>
      <w:r>
        <w:rPr>
          <w:rStyle w:val="42"/>
          <w:rFonts w:hint="eastAsia" w:asciiTheme="minorEastAsia" w:hAnsiTheme="minorEastAsia" w:eastAsiaTheme="minorEastAsia"/>
          <w:color w:val="000000" w:themeColor="text1"/>
          <w:sz w:val="21"/>
          <w:szCs w:val="21"/>
          <w14:textFill>
            <w14:solidFill>
              <w14:schemeClr w14:val="tx1"/>
            </w14:solidFill>
          </w14:textFill>
        </w:rPr>
        <w:t>第六章  响应文件格式</w:t>
      </w:r>
      <w:r>
        <w:rPr>
          <w:rFonts w:hint="eastAsia" w:asciiTheme="minorEastAsia" w:hAnsiTheme="minorEastAsia" w:eastAsiaTheme="minorEastAsia"/>
          <w:color w:val="000000" w:themeColor="text1"/>
          <w:sz w:val="21"/>
          <w:szCs w:val="21"/>
          <w14:textFill>
            <w14:solidFill>
              <w14:schemeClr w14:val="tx1"/>
            </w14:solidFill>
          </w14:textFill>
        </w:rPr>
        <w:tab/>
      </w:r>
      <w:r>
        <w:rPr>
          <w:rFonts w:hint="eastAsia" w:asciiTheme="minorEastAsia" w:hAnsiTheme="minorEastAsia" w:eastAsia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asciiTheme="minorEastAsia" w:hAnsiTheme="minorEastAsia" w:eastAsiaTheme="minorEastAsia"/>
          <w:color w:val="000000" w:themeColor="text1"/>
          <w:sz w:val="21"/>
          <w:szCs w:val="21"/>
          <w14:textFill>
            <w14:solidFill>
              <w14:schemeClr w14:val="tx1"/>
            </w14:solidFill>
          </w14:textFill>
        </w:rPr>
        <w:instrText xml:space="preserve">PAGEREF _Toc188638806 \h</w:instrText>
      </w:r>
      <w:r>
        <w:rPr>
          <w:rFonts w:hint="eastAsia" w:asciiTheme="minorEastAsia" w:hAnsiTheme="minorEastAsia" w:eastAsiaTheme="minorEastAsia"/>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color w:val="000000" w:themeColor="text1"/>
          <w:sz w:val="21"/>
          <w:szCs w:val="21"/>
          <w14:textFill>
            <w14:solidFill>
              <w14:schemeClr w14:val="tx1"/>
            </w14:solidFill>
          </w14:textFill>
        </w:rPr>
        <w:fldChar w:fldCharType="separate"/>
      </w:r>
      <w:r>
        <w:rPr>
          <w:rFonts w:asciiTheme="minorEastAsia" w:hAnsiTheme="minorEastAsia" w:eastAsiaTheme="minorEastAsia"/>
          <w:color w:val="000000" w:themeColor="text1"/>
          <w:sz w:val="21"/>
          <w:szCs w:val="21"/>
          <w14:textFill>
            <w14:solidFill>
              <w14:schemeClr w14:val="tx1"/>
            </w14:solidFill>
          </w14:textFill>
        </w:rPr>
        <w:t>135</w:t>
      </w:r>
      <w:r>
        <w:rPr>
          <w:rFonts w:hint="eastAsia" w:asciiTheme="minorEastAsia" w:hAnsiTheme="minorEastAsia" w:eastAsia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"_Toc188638807"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附件1 报价函</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_Toc188638807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143</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"_Toc188638808"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附件2 法定代表人身份证明、授权委托书</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_Toc188638808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144</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"_Toc188638809"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附件3 资格证明文件</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_Toc188638809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146</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"_Toc188638815"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附件4 分项报价表</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_Toc188638815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152</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"_Toc188638816"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附件5 商务条款偏离表</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_Toc188638816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153</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"_Toc188638817"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附件6 技术偏离表</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_Toc188638817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154</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"_Toc188638818"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附件7 详细的技术响应方案和服务承诺</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_Toc188638818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155</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2"/>
        <w:keepNext w:val="0"/>
        <w:keepLines w:val="0"/>
        <w:pageBreakBefore w:val="0"/>
        <w:widowControl/>
        <w:tabs>
          <w:tab w:val="right" w:leader="dot" w:pos="9174"/>
        </w:tabs>
        <w:kinsoku/>
        <w:wordWrap/>
        <w:overflowPunct/>
        <w:topLinePunct w:val="0"/>
        <w:autoSpaceDE/>
        <w:autoSpaceDN/>
        <w:bidi w:val="0"/>
        <w:adjustRightInd/>
        <w:snapToGrid/>
        <w:spacing w:before="0" w:after="0" w:line="440" w:lineRule="exact"/>
        <w:ind w:firstLine="402" w:firstLineChars="200"/>
        <w:textAlignment w:val="auto"/>
        <w:rPr>
          <w:rFonts w:asciiTheme="minorEastAsia" w:hAnsiTheme="minorEastAsia" w:eastAsiaTheme="minorEastAsia" w:cstheme="minorBidi"/>
          <w:b w:val="0"/>
          <w:bCs w:val="0"/>
          <w:caps w:val="0"/>
          <w:color w:val="000000" w:themeColor="text1"/>
          <w:sz w:val="21"/>
          <w:szCs w:val="21"/>
          <w14:textFill>
            <w14:solidFill>
              <w14:schemeClr w14:val="tx1"/>
            </w14:solidFill>
          </w14:textFill>
          <w14:ligatures w14:val="standardContextual"/>
        </w:rPr>
      </w:pPr>
      <w:r>
        <w:fldChar w:fldCharType="begin"/>
      </w:r>
      <w:r>
        <w:instrText xml:space="preserve"> HYPERLINK \l "_Toc188638819" </w:instrText>
      </w:r>
      <w:r>
        <w:fldChar w:fldCharType="separate"/>
      </w:r>
      <w:r>
        <w:rPr>
          <w:rStyle w:val="42"/>
          <w:rFonts w:hint="eastAsia" w:asciiTheme="minorEastAsia" w:hAnsiTheme="minorEastAsia" w:eastAsiaTheme="minorEastAsia"/>
          <w:b w:val="0"/>
          <w:bCs w:val="0"/>
          <w:color w:val="000000" w:themeColor="text1"/>
          <w:sz w:val="21"/>
          <w:szCs w:val="21"/>
          <w14:textFill>
            <w14:solidFill>
              <w14:schemeClr w14:val="tx1"/>
            </w14:solidFill>
          </w14:textFill>
        </w:rPr>
        <w:t>附件8 询比文件要求的其他资料。</w:t>
      </w:r>
      <w:r>
        <w:rPr>
          <w:rFonts w:hint="eastAsia" w:asciiTheme="minorEastAsia" w:hAnsiTheme="minorEastAsia" w:eastAsiaTheme="minorEastAsia"/>
          <w:b w:val="0"/>
          <w:bCs w:val="0"/>
          <w:color w:val="000000" w:themeColor="text1"/>
          <w:sz w:val="21"/>
          <w:szCs w:val="21"/>
          <w14:textFill>
            <w14:solidFill>
              <w14:schemeClr w14:val="tx1"/>
            </w14:solidFill>
          </w14:textFill>
        </w:rPr>
        <w:tab/>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asciiTheme="minorEastAsia" w:hAnsiTheme="minorEastAsia" w:eastAsiaTheme="minorEastAsia"/>
          <w:b w:val="0"/>
          <w:bCs w:val="0"/>
          <w:color w:val="000000" w:themeColor="text1"/>
          <w:sz w:val="21"/>
          <w:szCs w:val="21"/>
          <w14:textFill>
            <w14:solidFill>
              <w14:schemeClr w14:val="tx1"/>
            </w14:solidFill>
          </w14:textFill>
        </w:rPr>
        <w:instrText xml:space="preserve">PAGEREF _Toc188638819 \h</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instrText xml:space="preserve"> </w:instrTex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separate"/>
      </w:r>
      <w:r>
        <w:rPr>
          <w:rFonts w:asciiTheme="minorEastAsia" w:hAnsiTheme="minorEastAsia" w:eastAsiaTheme="minorEastAsia"/>
          <w:b w:val="0"/>
          <w:bCs w:val="0"/>
          <w:color w:val="000000" w:themeColor="text1"/>
          <w:sz w:val="21"/>
          <w:szCs w:val="21"/>
          <w14:textFill>
            <w14:solidFill>
              <w14:schemeClr w14:val="tx1"/>
            </w14:solidFill>
          </w14:textFill>
        </w:rPr>
        <w:t>156</w:t>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r>
        <w:rPr>
          <w:rFonts w:hint="eastAsia" w:asciiTheme="minorEastAsia" w:hAnsiTheme="minorEastAsia" w:eastAsiaTheme="minorEastAsia"/>
          <w:b w:val="0"/>
          <w:bCs w:val="0"/>
          <w:color w:val="000000" w:themeColor="text1"/>
          <w:sz w:val="21"/>
          <w:szCs w:val="21"/>
          <w14:textFill>
            <w14:solidFill>
              <w14:schemeClr w14:val="tx1"/>
            </w14:solidFill>
          </w14:textFill>
        </w:rPr>
        <w:fldChar w:fldCharType="end"/>
      </w:r>
    </w:p>
    <w:p>
      <w:pPr>
        <w:pStyle w:val="81"/>
        <w:spacing w:before="0" w:line="440" w:lineRule="exact"/>
        <w:ind w:firstLine="420"/>
        <w:rPr>
          <w:rFonts w:cs="Times New Roman" w:asciiTheme="minorEastAsia" w:hAnsiTheme="minorEastAsia" w:eastAsiaTheme="minorEastAsia"/>
          <w:caps/>
          <w:color w:val="000000" w:themeColor="text1"/>
          <w:kern w:val="2"/>
          <w:sz w:val="21"/>
          <w:szCs w:val="21"/>
          <w14:textFill>
            <w14:solidFill>
              <w14:schemeClr w14:val="tx1"/>
            </w14:solidFill>
          </w14:textFill>
        </w:rPr>
        <w:sectPr>
          <w:footerReference r:id="rId6" w:type="first"/>
          <w:footerReference r:id="rId5" w:type="default"/>
          <w:pgSz w:w="11906" w:h="16838"/>
          <w:pgMar w:top="1418" w:right="1555" w:bottom="1418"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81"/>
        <w:spacing w:before="0" w:line="440" w:lineRule="exact"/>
        <w:ind w:firstLine="420"/>
        <w:rPr>
          <w:rFonts w:cs="Times New Roman" w:asciiTheme="minorEastAsia" w:hAnsiTheme="minorEastAsia" w:eastAsiaTheme="minorEastAsia"/>
          <w:color w:val="000000" w:themeColor="text1"/>
          <w14:textFill>
            <w14:solidFill>
              <w14:schemeClr w14:val="tx1"/>
            </w14:solidFill>
          </w14:textFill>
        </w:rPr>
      </w:pPr>
      <w:r>
        <w:rPr>
          <w:rFonts w:cs="Times New Roman" w:asciiTheme="minorEastAsia" w:hAnsiTheme="minorEastAsia" w:eastAsiaTheme="minorEastAsia"/>
          <w:caps/>
          <w:color w:val="000000" w:themeColor="text1"/>
          <w:kern w:val="2"/>
          <w:sz w:val="21"/>
          <w:szCs w:val="21"/>
          <w14:textFill>
            <w14:solidFill>
              <w14:schemeClr w14:val="tx1"/>
            </w14:solidFill>
          </w14:textFill>
        </w:rPr>
        <w:fldChar w:fldCharType="end"/>
      </w:r>
    </w:p>
    <w:p>
      <w:pPr>
        <w:pStyle w:val="3"/>
        <w:spacing w:before="120" w:beforeLines="50" w:after="120" w:afterLines="50" w:line="360" w:lineRule="auto"/>
        <w:jc w:val="center"/>
        <w:rPr>
          <w:rFonts w:hint="eastAsia" w:asciiTheme="minorEastAsia" w:hAnsiTheme="minorEastAsia" w:eastAsiaTheme="minorEastAsia"/>
          <w:b/>
          <w:color w:val="000000" w:themeColor="text1"/>
          <w:sz w:val="32"/>
          <w:szCs w:val="32"/>
          <w14:textFill>
            <w14:solidFill>
              <w14:schemeClr w14:val="tx1"/>
            </w14:solidFill>
          </w14:textFill>
        </w:rPr>
        <w:sectPr>
          <w:footerReference r:id="rId8" w:type="first"/>
          <w:footerReference r:id="rId7" w:type="default"/>
          <w:pgSz w:w="11906" w:h="16838"/>
          <w:pgMar w:top="1418" w:right="1555" w:bottom="1418" w:left="1531" w:header="851" w:footer="992" w:gutter="0"/>
          <w:pgBorders>
            <w:top w:val="none" w:sz="0" w:space="0"/>
            <w:left w:val="none" w:sz="0" w:space="0"/>
            <w:bottom w:val="none" w:sz="0" w:space="0"/>
            <w:right w:val="none" w:sz="0" w:space="0"/>
          </w:pgBorders>
          <w:pgNumType w:start="1"/>
          <w:cols w:space="720" w:num="1"/>
          <w:titlePg/>
          <w:docGrid w:type="lines" w:linePitch="312" w:charSpace="0"/>
        </w:sectPr>
      </w:pPr>
      <w:bookmarkStart w:id="2" w:name="_Toc188638776"/>
    </w:p>
    <w:p>
      <w:pPr>
        <w:pStyle w:val="3"/>
        <w:spacing w:before="120" w:beforeLines="50" w:after="120" w:afterLines="50"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第一章  询比公告</w:t>
      </w:r>
      <w:bookmarkEnd w:id="2"/>
    </w:p>
    <w:p>
      <w:pPr>
        <w:pStyle w:val="15"/>
        <w:tabs>
          <w:tab w:val="left" w:pos="0"/>
        </w:tabs>
        <w:spacing w:line="480" w:lineRule="exact"/>
        <w:ind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3" w:name="_Toc188638777"/>
      <w:bookmarkStart w:id="4" w:name="_Toc137661576"/>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1、项目信息</w:t>
      </w:r>
      <w:bookmarkEnd w:id="3"/>
      <w:bookmarkEnd w:id="4"/>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bookmarkStart w:id="5" w:name="OLE_LINK8"/>
      <w:r>
        <w:rPr>
          <w:rFonts w:hint="eastAsia" w:cs="Times New Roman" w:asciiTheme="minorEastAsia" w:hAnsiTheme="minorEastAsia" w:eastAsiaTheme="minorEastAsia"/>
          <w:bCs/>
          <w:color w:val="000000" w:themeColor="text1"/>
          <w:sz w:val="24"/>
          <w:szCs w:val="24"/>
          <w14:textFill>
            <w14:solidFill>
              <w14:schemeClr w14:val="tx1"/>
            </w14:solidFill>
          </w14:textFill>
        </w:rPr>
        <w:t>1.1 项目名称：</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羊口镇河北湿地供水管道工程项目</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1.2 项目编号：</w:t>
      </w:r>
      <w:r>
        <w:rPr>
          <w:rFonts w:hint="eastAsia" w:cs="Times New Roman" w:asciiTheme="minorEastAsia" w:hAnsiTheme="minorEastAsia" w:eastAsiaTheme="minorEastAsia"/>
          <w:bCs/>
          <w:color w:val="000000" w:themeColor="text1"/>
          <w:sz w:val="24"/>
          <w:szCs w:val="24"/>
          <w:lang w:val="en-US" w:eastAsia="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 xml:space="preserve"> SDQYSGGS20250</w:t>
      </w:r>
      <w:r>
        <w:rPr>
          <w:rFonts w:hint="eastAsia" w:cs="Times New Roman" w:asciiTheme="minorEastAsia" w:hAnsiTheme="minorEastAsia"/>
          <w:bCs/>
          <w:color w:val="000000" w:themeColor="text1"/>
          <w:sz w:val="24"/>
          <w:szCs w:val="24"/>
          <w:u w:val="none"/>
          <w:lang w:val="en-US" w:eastAsia="zh-CN"/>
          <w14:textFill>
            <w14:solidFill>
              <w14:schemeClr w14:val="tx1"/>
            </w14:solidFill>
          </w14:textFill>
        </w:rPr>
        <w:t>7</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lang w:val="en-US" w:eastAsia="zh-CN"/>
          <w14:textFill>
            <w14:solidFill>
              <w14:schemeClr w14:val="tx1"/>
            </w14:solidFill>
          </w14:textFill>
        </w:rPr>
        <w:t xml:space="preserve">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1.3 项目地点：</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山东省潍坊市寿光市羊口镇</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1.4 资金来源及最高投标限价：</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41</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万元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1.5 采购范围：</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本项目为羊口镇河北湿地供水管道工程，主要包括沟槽开挖、回填、管道安装、阀门井砌筑及附件安装等</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1.6 质量要求：</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符合国家及相关行业标准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 xml:space="preserve">1.7 </w:t>
      </w:r>
      <w:bookmarkStart w:id="6" w:name="OLE_LINK15"/>
      <w:r>
        <w:rPr>
          <w:rFonts w:hint="eastAsia" w:cs="Times New Roman" w:asciiTheme="minorEastAsia" w:hAnsiTheme="minorEastAsia" w:eastAsiaTheme="minorEastAsia"/>
          <w:bCs/>
          <w:color w:val="000000" w:themeColor="text1"/>
          <w:sz w:val="24"/>
          <w:szCs w:val="24"/>
          <w14:textFill>
            <w14:solidFill>
              <w14:schemeClr w14:val="tx1"/>
            </w14:solidFill>
          </w14:textFill>
        </w:rPr>
        <w:t>工期/交货/服务期限：</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bookmarkEnd w:id="5"/>
      <w:bookmarkEnd w:id="6"/>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3</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0</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日历天安装调试完毕  </w:t>
      </w:r>
    </w:p>
    <w:p>
      <w:pPr>
        <w:pStyle w:val="15"/>
        <w:tabs>
          <w:tab w:val="left" w:pos="0"/>
        </w:tabs>
        <w:spacing w:line="480" w:lineRule="exact"/>
        <w:ind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7" w:name="_Toc188638778"/>
      <w:bookmarkStart w:id="8" w:name="_Toc137661577"/>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2、供应商资格要求</w:t>
      </w:r>
      <w:bookmarkEnd w:id="7"/>
      <w:bookmarkEnd w:id="8"/>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bookmarkStart w:id="9" w:name="OLE_LINK2"/>
      <w:bookmarkStart w:id="10" w:name="OLE_LINK4"/>
      <w:r>
        <w:rPr>
          <w:rFonts w:hint="eastAsia" w:cs="Times New Roman" w:asciiTheme="minorEastAsia" w:hAnsiTheme="minorEastAsia" w:eastAsiaTheme="minorEastAsia"/>
          <w:bCs/>
          <w:color w:val="000000" w:themeColor="text1"/>
          <w:sz w:val="24"/>
          <w:szCs w:val="24"/>
          <w14:textFill>
            <w14:solidFill>
              <w14:schemeClr w14:val="tx1"/>
            </w14:solidFill>
          </w14:textFill>
        </w:rPr>
        <w:t>2.1  供应商应为中华人民共和国境内的独立企业法人或其他组织；</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 xml:space="preserve">2.2  </w:t>
      </w:r>
      <w:r>
        <w:rPr>
          <w:rFonts w:hint="eastAsia" w:cs="Times New Roman" w:asciiTheme="minorEastAsia" w:hAnsiTheme="minorEastAsia"/>
          <w:bCs/>
          <w:color w:val="000000" w:themeColor="text1"/>
          <w:sz w:val="24"/>
          <w:szCs w:val="24"/>
          <w14:textFill>
            <w14:solidFill>
              <w14:schemeClr w14:val="tx1"/>
            </w14:solidFill>
          </w14:textFill>
        </w:rPr>
        <w:t>投标人须同时具备市政公用工程施工总承包三级以上资质，在人员、设备、资金等方面具备相应的施工能力，并具有有效的安</w:t>
      </w:r>
      <w:r>
        <w:rPr>
          <w:rFonts w:hint="eastAsia" w:cs="Times New Roman" w:asciiTheme="minorEastAsia" w:hAnsiTheme="minorEastAsia"/>
          <w:bCs/>
          <w:color w:val="000000" w:themeColor="text1"/>
          <w:sz w:val="24"/>
          <w:szCs w:val="24"/>
          <w:highlight w:val="none"/>
          <w14:textFill>
            <w14:solidFill>
              <w14:schemeClr w14:val="tx1"/>
            </w14:solidFill>
          </w14:textFill>
        </w:rPr>
        <w:t>全生产许可证；</w:t>
      </w:r>
      <w:r>
        <w:rPr>
          <w:rFonts w:hint="eastAsia" w:cs="Times New Roman" w:asciiTheme="minorEastAsia" w:hAnsiTheme="minorEastAsia" w:eastAsiaTheme="minorEastAsia"/>
          <w:bCs/>
          <w:color w:val="000000" w:themeColor="text1"/>
          <w:sz w:val="24"/>
          <w:szCs w:val="24"/>
          <w14:textFill>
            <w14:solidFill>
              <w14:schemeClr w14:val="tx1"/>
            </w14:solidFill>
          </w14:textFill>
        </w:rPr>
        <w:t xml:space="preserve">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 xml:space="preserve">2.3 </w:t>
      </w:r>
      <w:r>
        <w:rPr>
          <w:rFonts w:hint="eastAsia" w:cs="Times New Roman" w:asciiTheme="minorEastAsia" w:hAnsiTheme="minorEastAsia"/>
          <w:bCs/>
          <w:color w:val="000000" w:themeColor="text1"/>
          <w:sz w:val="24"/>
          <w:szCs w:val="24"/>
          <w:highlight w:val="none"/>
          <w14:textFill>
            <w14:solidFill>
              <w14:schemeClr w14:val="tx1"/>
            </w14:solidFill>
          </w14:textFill>
        </w:rPr>
        <w:t>投标人拟派</w:t>
      </w:r>
      <w:r>
        <w:rPr>
          <w:rFonts w:hint="eastAsia" w:cs="Times New Roman" w:asciiTheme="minorEastAsia" w:hAnsiTheme="minorEastAsia"/>
          <w:bCs/>
          <w:color w:val="000000" w:themeColor="text1"/>
          <w:sz w:val="24"/>
          <w:szCs w:val="24"/>
          <w:highlight w:val="none"/>
          <w:lang w:val="en-US" w:eastAsia="zh-CN"/>
          <w14:textFill>
            <w14:solidFill>
              <w14:schemeClr w14:val="tx1"/>
            </w14:solidFill>
          </w14:textFill>
        </w:rPr>
        <w:t>技术负责人</w:t>
      </w:r>
      <w:r>
        <w:rPr>
          <w:rFonts w:hint="eastAsia" w:cs="Times New Roman" w:asciiTheme="minorEastAsia" w:hAnsiTheme="minorEastAsia"/>
          <w:bCs/>
          <w:color w:val="000000" w:themeColor="text1"/>
          <w:sz w:val="24"/>
          <w:szCs w:val="24"/>
          <w:highlight w:val="none"/>
          <w14:textFill>
            <w14:solidFill>
              <w14:schemeClr w14:val="tx1"/>
            </w14:solidFill>
          </w14:textFill>
        </w:rPr>
        <w:t>资格和要求：须具有</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中级及以上工程师职称证书</w:t>
      </w:r>
      <w:r>
        <w:rPr>
          <w:rFonts w:hint="eastAsia" w:cs="Times New Roman" w:asciiTheme="minorEastAsia" w:hAnsiTheme="minorEastAsia" w:eastAsiaTheme="minorEastAsia"/>
          <w:bCs/>
          <w:color w:val="000000" w:themeColor="text1"/>
          <w:sz w:val="24"/>
          <w:szCs w:val="24"/>
          <w:highlight w:val="none"/>
          <w:lang w:eastAsia="zh-CN"/>
          <w14:textFill>
            <w14:solidFill>
              <w14:schemeClr w14:val="tx1"/>
            </w14:solidFill>
          </w14:textFill>
        </w:rPr>
        <w:t>。</w:t>
      </w:r>
    </w:p>
    <w:p>
      <w:pPr>
        <w:pStyle w:val="15"/>
        <w:widowControl/>
        <w:shd w:val="clear" w:color="auto" w:fill="FFFFFF"/>
        <w:tabs>
          <w:tab w:val="left" w:pos="0"/>
        </w:tabs>
        <w:spacing w:beforeAutospacing="0" w:afterAutospacing="0" w:line="480" w:lineRule="exact"/>
        <w:ind w:firstLine="480" w:firstLineChars="200"/>
        <w:rPr>
          <w:rFonts w:hint="eastAsia" w:cs="Times New Roman" w:asciiTheme="minorEastAsia" w:hAnsiTheme="minorEastAsia" w:eastAsiaTheme="minorEastAsia"/>
          <w:bCs/>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 xml:space="preserve">2.4 </w:t>
      </w:r>
      <w:r>
        <w:rPr>
          <w:rFonts w:hint="eastAsia" w:cs="Times New Roman" w:asciiTheme="minorEastAsia" w:hAnsiTheme="minorEastAsia" w:eastAsiaTheme="minorEastAsia"/>
          <w:bCs/>
          <w:color w:val="000000" w:themeColor="text1"/>
          <w:sz w:val="24"/>
          <w:szCs w:val="24"/>
          <w:highlight w:val="none"/>
          <w:lang w:eastAsia="zh-CN"/>
          <w14:textFill>
            <w14:solidFill>
              <w14:schemeClr w14:val="tx1"/>
            </w14:solidFill>
          </w14:textFill>
        </w:rPr>
        <w:t>投标人拟派项目经理</w:t>
      </w:r>
      <w:r>
        <w:rPr>
          <w:rFonts w:hint="eastAsia" w:cs="Times New Roman" w:asciiTheme="minorEastAsia" w:hAnsiTheme="minorEastAsia" w:eastAsiaTheme="minorEastAsia"/>
          <w:bCs/>
          <w:color w:val="000000" w:themeColor="text1"/>
          <w:sz w:val="24"/>
          <w:szCs w:val="24"/>
          <w:highlight w:val="none"/>
          <w:lang w:val="en-US" w:eastAsia="zh-CN"/>
          <w14:textFill>
            <w14:solidFill>
              <w14:schemeClr w14:val="tx1"/>
            </w14:solidFill>
          </w14:textFill>
        </w:rPr>
        <w:t>资格和要求</w:t>
      </w:r>
      <w:r>
        <w:rPr>
          <w:rFonts w:hint="eastAsia" w:cs="Times New Roman" w:asciiTheme="minorEastAsia" w:hAnsiTheme="minorEastAsia"/>
          <w:bCs/>
          <w:color w:val="000000" w:themeColor="text1"/>
          <w:sz w:val="24"/>
          <w:szCs w:val="24"/>
          <w:highlight w:val="none"/>
          <w14:textFill>
            <w14:solidFill>
              <w14:schemeClr w14:val="tx1"/>
            </w14:solidFill>
          </w14:textFill>
        </w:rPr>
        <w:t>：须具有</w:t>
      </w:r>
      <w:r>
        <w:rPr>
          <w:rFonts w:hint="eastAsia" w:cs="Times New Roman" w:asciiTheme="minorEastAsia" w:hAnsiTheme="minorEastAsia"/>
          <w:bCs/>
          <w:color w:val="000000" w:themeColor="text1"/>
          <w:sz w:val="24"/>
          <w:szCs w:val="24"/>
          <w:highlight w:val="none"/>
          <w:lang w:val="en-US" w:eastAsia="zh-CN"/>
          <w14:textFill>
            <w14:solidFill>
              <w14:schemeClr w14:val="tx1"/>
            </w14:solidFill>
          </w14:textFill>
        </w:rPr>
        <w:t>市政</w:t>
      </w:r>
      <w:r>
        <w:rPr>
          <w:rFonts w:hint="eastAsia" w:cs="Times New Roman" w:asciiTheme="minorEastAsia" w:hAnsiTheme="minorEastAsia"/>
          <w:bCs/>
          <w:color w:val="000000" w:themeColor="text1"/>
          <w:sz w:val="24"/>
          <w:szCs w:val="24"/>
          <w:highlight w:val="none"/>
          <w14:textFill>
            <w14:solidFill>
              <w14:schemeClr w14:val="tx1"/>
            </w14:solidFill>
          </w14:textFill>
        </w:rPr>
        <w:t>工程专业</w:t>
      </w:r>
      <w:r>
        <w:rPr>
          <w:rFonts w:hint="eastAsia" w:cs="Times New Roman" w:asciiTheme="minorEastAsia" w:hAnsiTheme="minorEastAsia"/>
          <w:bCs/>
          <w:color w:val="000000" w:themeColor="text1"/>
          <w:sz w:val="24"/>
          <w:szCs w:val="24"/>
          <w:highlight w:val="none"/>
          <w:lang w:val="en-US" w:eastAsia="zh-CN"/>
          <w14:textFill>
            <w14:solidFill>
              <w14:schemeClr w14:val="tx1"/>
            </w14:solidFill>
          </w14:textFill>
        </w:rPr>
        <w:t>二</w:t>
      </w:r>
      <w:r>
        <w:rPr>
          <w:rFonts w:hint="eastAsia" w:cs="Times New Roman" w:asciiTheme="minorEastAsia" w:hAnsiTheme="minorEastAsia"/>
          <w:bCs/>
          <w:color w:val="000000" w:themeColor="text1"/>
          <w:sz w:val="24"/>
          <w:szCs w:val="24"/>
          <w:highlight w:val="none"/>
          <w14:textFill>
            <w14:solidFill>
              <w14:schemeClr w14:val="tx1"/>
            </w14:solidFill>
          </w14:textFill>
        </w:rPr>
        <w:t>级及以上注册建造师执业资格</w:t>
      </w:r>
      <w:r>
        <w:rPr>
          <w:rFonts w:hint="eastAsia" w:cs="Times New Roman" w:asciiTheme="minorEastAsia" w:hAnsiTheme="minorEastAsia"/>
          <w:bCs/>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bCs/>
          <w:color w:val="000000" w:themeColor="text1"/>
          <w:sz w:val="24"/>
          <w:szCs w:val="24"/>
          <w:highlight w:val="none"/>
          <w14:textFill>
            <w14:solidFill>
              <w14:schemeClr w14:val="tx1"/>
            </w14:solidFill>
          </w14:textFill>
        </w:rPr>
        <w:t>并具备有效的安全生产考核合格证书（B证）</w:t>
      </w:r>
      <w:r>
        <w:rPr>
          <w:rFonts w:hint="eastAsia" w:cs="Times New Roman" w:asciiTheme="minorEastAsia" w:hAnsiTheme="minorEastAsia"/>
          <w:bCs/>
          <w:color w:val="000000" w:themeColor="text1"/>
          <w:sz w:val="24"/>
          <w:szCs w:val="24"/>
          <w:highlight w:val="none"/>
          <w:lang w:val="en-US" w:eastAsia="zh-CN"/>
          <w14:textFill>
            <w14:solidFill>
              <w14:schemeClr w14:val="tx1"/>
            </w14:solidFill>
          </w14:textFill>
        </w:rPr>
        <w:t>及</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中级及以上工程师职称证书</w:t>
      </w:r>
      <w:r>
        <w:rPr>
          <w:rFonts w:hint="eastAsia" w:cs="Times New Roman" w:asciiTheme="minorEastAsia" w:hAnsiTheme="minorEastAsia" w:eastAsiaTheme="minorEastAsia"/>
          <w:bCs/>
          <w:color w:val="000000" w:themeColor="text1"/>
          <w:sz w:val="24"/>
          <w:szCs w:val="24"/>
          <w:highlight w:val="none"/>
          <w:lang w:eastAsia="zh-CN"/>
          <w14:textFill>
            <w14:solidFill>
              <w14:schemeClr w14:val="tx1"/>
            </w14:solidFill>
          </w14:textFill>
        </w:rPr>
        <w:t>；</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 xml:space="preserve">2.5 </w:t>
      </w:r>
      <w:r>
        <w:rPr>
          <w:rFonts w:hint="eastAsia" w:cs="Times New Roman" w:asciiTheme="minorEastAsia" w:hAnsiTheme="minorEastAsia"/>
          <w:bCs/>
          <w:color w:val="000000" w:themeColor="text1"/>
          <w:sz w:val="24"/>
          <w:szCs w:val="24"/>
          <w:highlight w:val="none"/>
          <w14:textFill>
            <w14:solidFill>
              <w14:schemeClr w14:val="tx1"/>
            </w14:solidFill>
          </w14:textFill>
        </w:rPr>
        <w:t>本项目不接受联合体投标。</w:t>
      </w:r>
    </w:p>
    <w:bookmarkEnd w:id="9"/>
    <w:bookmarkEnd w:id="10"/>
    <w:p>
      <w:pPr>
        <w:pStyle w:val="15"/>
        <w:tabs>
          <w:tab w:val="left" w:pos="0"/>
        </w:tabs>
        <w:spacing w:line="480" w:lineRule="exact"/>
        <w:ind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11" w:name="_Toc188638779"/>
      <w:bookmarkStart w:id="12" w:name="_Toc137661578"/>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3、询比文件的获取</w:t>
      </w:r>
      <w:bookmarkEnd w:id="11"/>
      <w:bookmarkEnd w:id="12"/>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3.1获取时间：</w:t>
      </w:r>
      <w:r>
        <w:rPr>
          <w:rFonts w:hint="eastAsia" w:cs="Times New Roman" w:asciiTheme="minorEastAsia" w:hAnsiTheme="minorEastAsia" w:eastAsiaTheme="minorEastAsia"/>
          <w:bCs/>
          <w:strike w:val="0"/>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strike w:val="0"/>
          <w:color w:val="000000" w:themeColor="text1"/>
          <w:sz w:val="24"/>
          <w:szCs w:val="24"/>
          <w:highlight w:val="none"/>
          <w:u w:val="none"/>
          <w:lang w:val="en-US" w:eastAsia="zh-CN"/>
          <w14:textFill>
            <w14:solidFill>
              <w14:schemeClr w14:val="tx1"/>
            </w14:solidFill>
          </w14:textFill>
        </w:rPr>
        <w:t>2025</w:t>
      </w:r>
      <w:r>
        <w:rPr>
          <w:rFonts w:hint="eastAsia" w:cs="Times New Roman" w:asciiTheme="minorEastAsia" w:hAnsiTheme="minorEastAsia" w:eastAsiaTheme="minorEastAsia"/>
          <w:bCs/>
          <w:strike w:val="0"/>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strike w:val="0"/>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strike w:val="0"/>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strike w:val="0"/>
          <w:color w:val="000000" w:themeColor="text1"/>
          <w:sz w:val="24"/>
          <w:szCs w:val="24"/>
          <w:highlight w:val="none"/>
          <w:u w:val="none"/>
          <w:lang w:val="en-US" w:eastAsia="zh-CN"/>
          <w14:textFill>
            <w14:solidFill>
              <w14:schemeClr w14:val="tx1"/>
            </w14:solidFill>
          </w14:textFill>
        </w:rPr>
        <w:t>7</w:t>
      </w:r>
      <w:r>
        <w:rPr>
          <w:rFonts w:hint="eastAsia" w:cs="Times New Roman" w:asciiTheme="minorEastAsia" w:hAnsiTheme="minorEastAsia" w:eastAsiaTheme="minorEastAsia"/>
          <w:bCs/>
          <w:strike w:val="0"/>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strike w:val="0"/>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bCs/>
          <w:strike w:val="0"/>
          <w:color w:val="000000" w:themeColor="text1"/>
          <w:sz w:val="24"/>
          <w:szCs w:val="24"/>
          <w:highlight w:val="none"/>
          <w:u w:val="none"/>
          <w:lang w:val="en-US" w:eastAsia="zh-CN"/>
          <w14:textFill>
            <w14:solidFill>
              <w14:schemeClr w14:val="tx1"/>
            </w14:solidFill>
          </w14:textFill>
        </w:rPr>
        <w:t>3</w:t>
      </w:r>
      <w:r>
        <w:rPr>
          <w:rFonts w:hint="eastAsia" w:cs="Times New Roman" w:asciiTheme="minorEastAsia" w:hAnsiTheme="minorEastAsia" w:eastAsiaTheme="minorEastAsia"/>
          <w:bCs/>
          <w:strike w:val="0"/>
          <w:color w:val="000000" w:themeColor="text1"/>
          <w:sz w:val="24"/>
          <w:szCs w:val="24"/>
          <w:highlight w:val="none"/>
          <w14:textFill>
            <w14:solidFill>
              <w14:schemeClr w14:val="tx1"/>
            </w14:solidFill>
          </w14:textFill>
        </w:rPr>
        <w:t>日至</w:t>
      </w:r>
      <w:r>
        <w:rPr>
          <w:rFonts w:hint="eastAsia" w:cs="Times New Roman" w:asciiTheme="minorEastAsia" w:hAnsiTheme="minorEastAsia" w:eastAsiaTheme="minorEastAsia"/>
          <w:bCs/>
          <w:strike w:val="0"/>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strike w:val="0"/>
          <w:color w:val="000000" w:themeColor="text1"/>
          <w:sz w:val="24"/>
          <w:szCs w:val="24"/>
          <w:highlight w:val="none"/>
          <w:u w:val="none"/>
          <w:lang w:val="en-US" w:eastAsia="zh-CN"/>
          <w14:textFill>
            <w14:solidFill>
              <w14:schemeClr w14:val="tx1"/>
            </w14:solidFill>
          </w14:textFill>
        </w:rPr>
        <w:t>2025</w:t>
      </w:r>
      <w:r>
        <w:rPr>
          <w:rFonts w:hint="eastAsia" w:cs="Times New Roman" w:asciiTheme="minorEastAsia" w:hAnsiTheme="minorEastAsia" w:eastAsiaTheme="minorEastAsia"/>
          <w:bCs/>
          <w:strike w:val="0"/>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strike w:val="0"/>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strike w:val="0"/>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strike w:val="0"/>
          <w:color w:val="000000" w:themeColor="text1"/>
          <w:sz w:val="24"/>
          <w:szCs w:val="24"/>
          <w:highlight w:val="none"/>
          <w:u w:val="none"/>
          <w:lang w:val="en-US" w:eastAsia="zh-CN"/>
          <w14:textFill>
            <w14:solidFill>
              <w14:schemeClr w14:val="tx1"/>
            </w14:solidFill>
          </w14:textFill>
        </w:rPr>
        <w:t>7</w:t>
      </w:r>
      <w:r>
        <w:rPr>
          <w:rFonts w:hint="eastAsia" w:cs="Times New Roman" w:asciiTheme="minorEastAsia" w:hAnsiTheme="minorEastAsia" w:eastAsiaTheme="minorEastAsia"/>
          <w:bCs/>
          <w:strike w:val="0"/>
          <w:color w:val="000000" w:themeColor="text1"/>
          <w:sz w:val="24"/>
          <w:szCs w:val="24"/>
          <w:highlight w:val="none"/>
          <w14:textFill>
            <w14:solidFill>
              <w14:schemeClr w14:val="tx1"/>
            </w14:solidFill>
          </w14:textFill>
        </w:rPr>
        <w:t>月</w:t>
      </w:r>
      <w:r>
        <w:rPr>
          <w:rFonts w:hint="eastAsia" w:cs="Times New Roman" w:asciiTheme="minorEastAsia" w:hAnsiTheme="minorEastAsia"/>
          <w:bCs/>
          <w:strike w:val="0"/>
          <w:color w:val="000000" w:themeColor="text1"/>
          <w:sz w:val="24"/>
          <w:szCs w:val="24"/>
          <w:highlight w:val="none"/>
          <w:lang w:val="en-US" w:eastAsia="zh-CN"/>
          <w14:textFill>
            <w14:solidFill>
              <w14:schemeClr w14:val="tx1"/>
            </w14:solidFill>
          </w14:textFill>
        </w:rPr>
        <w:t>6</w:t>
      </w:r>
      <w:r>
        <w:rPr>
          <w:rFonts w:hint="eastAsia" w:cs="Times New Roman" w:asciiTheme="minorEastAsia" w:hAnsiTheme="minorEastAsia" w:eastAsiaTheme="minorEastAsia"/>
          <w:bCs/>
          <w:strike w:val="0"/>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strike w:val="0"/>
          <w:color w:val="000000" w:themeColor="text1"/>
          <w:sz w:val="24"/>
          <w:szCs w:val="24"/>
          <w:highlight w:val="none"/>
          <w14:textFill>
            <w14:solidFill>
              <w14:schemeClr w14:val="tx1"/>
            </w14:solidFill>
          </w14:textFill>
        </w:rPr>
        <w:t>日17:00（北京时间，下同）</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3.2获取方式：</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山东水务投资有限公司</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，采购文件（电子文件）免费获取（联系电话：</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0531-66570866</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p>
    <w:p>
      <w:pPr>
        <w:pStyle w:val="15"/>
        <w:tabs>
          <w:tab w:val="left" w:pos="0"/>
        </w:tabs>
        <w:spacing w:line="480" w:lineRule="exact"/>
        <w:ind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13" w:name="_Toc137661579"/>
      <w:bookmarkStart w:id="14" w:name="_Toc188638780"/>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4、响应文件的递交</w:t>
      </w:r>
      <w:bookmarkEnd w:id="13"/>
      <w:bookmarkEnd w:id="14"/>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4.1响应文件递交的截止时间（投标截止时间，下同）为</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none"/>
          <w:lang w:val="en-US" w:eastAsia="zh-CN"/>
          <w14:textFill>
            <w14:solidFill>
              <w14:schemeClr w14:val="tx1"/>
            </w14:solidFill>
          </w14:textFill>
        </w:rPr>
        <w:t>2025</w:t>
      </w:r>
      <w:r>
        <w:rPr>
          <w:rFonts w:hint="eastAsia" w:cs="Times New Roman" w:asciiTheme="minorEastAsia" w:hAnsiTheme="minorEastAsia" w:eastAsiaTheme="minorEastAsia"/>
          <w:bCs/>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none"/>
          <w:lang w:val="en-US" w:eastAsia="zh-CN"/>
          <w14:textFill>
            <w14:solidFill>
              <w14:schemeClr w14:val="tx1"/>
            </w14:solidFill>
          </w14:textFill>
        </w:rPr>
        <w:t>7</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bCs/>
          <w:color w:val="000000" w:themeColor="text1"/>
          <w:sz w:val="24"/>
          <w:szCs w:val="24"/>
          <w:highlight w:val="none"/>
          <w:u w:val="none"/>
          <w:lang w:val="en-US" w:eastAsia="zh-CN"/>
          <w14:textFill>
            <w14:solidFill>
              <w14:schemeClr w14:val="tx1"/>
            </w14:solidFill>
          </w14:textFill>
        </w:rPr>
        <w:t>10</w:t>
      </w:r>
      <w:r>
        <w:rPr>
          <w:rFonts w:hint="eastAsia" w:cs="Times New Roman" w:asciiTheme="minorEastAsia" w:hAnsiTheme="minorEastAsia" w:eastAsiaTheme="minorEastAsia"/>
          <w:bCs/>
          <w:color w:val="000000" w:themeColor="text1"/>
          <w:sz w:val="24"/>
          <w:szCs w:val="24"/>
          <w:highlight w:val="none"/>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9</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时</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00</w:t>
      </w:r>
      <w:r>
        <w:rPr>
          <w:rFonts w:hint="eastAsia" w:cs="Times New Roman" w:asciiTheme="minorEastAsia" w:hAnsiTheme="minorEastAsia" w:eastAsiaTheme="minorEastAsia"/>
          <w:bCs/>
          <w:color w:val="000000" w:themeColor="text1"/>
          <w:sz w:val="24"/>
          <w:szCs w:val="24"/>
          <w14:textFill>
            <w14:solidFill>
              <w14:schemeClr w14:val="tx1"/>
            </w14:solidFill>
          </w14:textFill>
        </w:rPr>
        <w:t>分，地点为</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山东省济南市历城区港源四路山东水务投资有限公司</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4.2 逾期送达的、未送达指定地点的或者不按照询比文件要求密封的响应文件，采购人将予以拒收。</w:t>
      </w:r>
    </w:p>
    <w:p>
      <w:pPr>
        <w:pStyle w:val="15"/>
        <w:tabs>
          <w:tab w:val="left" w:pos="0"/>
        </w:tabs>
        <w:spacing w:line="480" w:lineRule="exact"/>
        <w:ind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15" w:name="_Toc188638781"/>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5、公告发布</w:t>
      </w:r>
      <w:bookmarkEnd w:id="15"/>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本次询比公告同时</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在</w:t>
      </w:r>
      <w:r>
        <w:rPr>
          <w:rFonts w:hint="eastAsia" w:cs="Times New Roman" w:asciiTheme="minorEastAsia" w:hAnsiTheme="minorEastAsia" w:eastAsiaTheme="minorEastAsia"/>
          <w:bCs/>
          <w:color w:val="000000" w:themeColor="text1"/>
          <w:sz w:val="24"/>
          <w:szCs w:val="24"/>
          <w:highlight w:val="none"/>
          <w:lang w:val="en-US" w:eastAsia="zh-CN"/>
          <w14:textFill>
            <w14:solidFill>
              <w14:schemeClr w14:val="tx1"/>
            </w14:solidFill>
          </w14:textFill>
        </w:rPr>
        <w:t>山东</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水务官网（https://www.</w:t>
      </w:r>
      <w:r>
        <w:rPr>
          <w:rFonts w:hint="eastAsia" w:cs="Times New Roman" w:asciiTheme="minorEastAsia" w:hAnsiTheme="minorEastAsia" w:eastAsiaTheme="minorEastAsia"/>
          <w:bCs/>
          <w:color w:val="000000" w:themeColor="text1"/>
          <w:sz w:val="24"/>
          <w:szCs w:val="24"/>
          <w:highlight w:val="none"/>
          <w:lang w:val="en-US" w:eastAsia="zh-CN"/>
          <w14:textFill>
            <w14:solidFill>
              <w14:schemeClr w14:val="tx1"/>
            </w14:solidFill>
          </w14:textFill>
        </w:rPr>
        <w:t>sdswtz</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.com/）上</w:t>
      </w:r>
      <w:r>
        <w:rPr>
          <w:rFonts w:hint="eastAsia" w:cs="Times New Roman" w:asciiTheme="minorEastAsia" w:hAnsiTheme="minorEastAsia" w:eastAsiaTheme="minorEastAsia"/>
          <w:bCs/>
          <w:color w:val="000000" w:themeColor="text1"/>
          <w:sz w:val="24"/>
          <w:szCs w:val="24"/>
          <w14:textFill>
            <w14:solidFill>
              <w14:schemeClr w14:val="tx1"/>
            </w14:solidFill>
          </w14:textFill>
        </w:rPr>
        <w:t>发布,因轻信其他组织、个人或媒体提供的信息而造成损失的，采购人概不负责。</w:t>
      </w:r>
    </w:p>
    <w:p>
      <w:pPr>
        <w:pStyle w:val="15"/>
        <w:tabs>
          <w:tab w:val="left" w:pos="0"/>
        </w:tabs>
        <w:spacing w:line="480" w:lineRule="exact"/>
        <w:ind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16" w:name="_Toc137661581"/>
      <w:bookmarkStart w:id="17" w:name="_Toc188638782"/>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6、联系方式</w:t>
      </w:r>
      <w:bookmarkEnd w:id="16"/>
      <w:bookmarkEnd w:id="17"/>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采购人：</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寿光南水北调供水</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有限公司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地  址：</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山东省济南市历城区港源四路山东水务投资有限公司</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联系人：</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 xml:space="preserve">  曲怡帆</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贾继远</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p>
    <w:p>
      <w:pPr>
        <w:pStyle w:val="15"/>
        <w:tabs>
          <w:tab w:val="left" w:pos="0"/>
        </w:tabs>
        <w:spacing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t>联系电话：</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none"/>
          <w:lang w:val="en-US" w:eastAsia="zh-CN"/>
          <w14:textFill>
            <w14:solidFill>
              <w14:schemeClr w14:val="tx1"/>
            </w14:solidFill>
          </w14:textFill>
        </w:rPr>
        <w:t>0531-66570866，17865620911</w:t>
      </w:r>
      <w:r>
        <w:rPr>
          <w:rFonts w:hint="eastAsia" w:cs="Times New Roman" w:asciiTheme="minorEastAsia" w:hAnsiTheme="minorEastAsia" w:eastAsiaTheme="minorEastAsia"/>
          <w:bCs/>
          <w:color w:val="000000" w:themeColor="text1"/>
          <w:sz w:val="24"/>
          <w:szCs w:val="24"/>
          <w:u w:val="none"/>
          <w14:textFill>
            <w14:solidFill>
              <w14:schemeClr w14:val="tx1"/>
            </w14:solidFill>
          </w14:textFill>
        </w:rPr>
        <w:t xml:space="preserve"> </w:t>
      </w:r>
    </w:p>
    <w:p>
      <w:pPr>
        <w:pStyle w:val="15"/>
        <w:tabs>
          <w:tab w:val="left" w:pos="0"/>
        </w:tabs>
        <w:spacing w:after="0" w:line="480" w:lineRule="exact"/>
        <w:ind w:firstLine="480" w:firstLineChars="200"/>
        <w:rPr>
          <w:rFonts w:hint="eastAsia" w:cs="Times New Roman" w:asciiTheme="minorEastAsia" w:hAnsiTheme="minorEastAsia" w:eastAsia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color w:val="000000" w:themeColor="text1"/>
          <w:sz w:val="24"/>
          <w:szCs w:val="24"/>
          <w14:textFill>
            <w14:solidFill>
              <w14:schemeClr w14:val="tx1"/>
            </w14:solidFill>
          </w14:textFill>
        </w:rPr>
        <w:br w:type="page"/>
      </w:r>
    </w:p>
    <w:p>
      <w:pPr>
        <w:pStyle w:val="3"/>
        <w:spacing w:before="120" w:beforeLines="50" w:after="120" w:afterLines="50" w:line="360" w:lineRule="auto"/>
        <w:jc w:val="center"/>
        <w:rPr>
          <w:rFonts w:asciiTheme="minorEastAsia" w:hAnsiTheme="minorEastAsia" w:eastAsiaTheme="minorEastAsia"/>
          <w:b/>
          <w:color w:val="000000" w:themeColor="text1"/>
          <w:sz w:val="32"/>
          <w:szCs w:val="32"/>
          <w14:textFill>
            <w14:solidFill>
              <w14:schemeClr w14:val="tx1"/>
            </w14:solidFill>
          </w14:textFill>
        </w:rPr>
      </w:pPr>
      <w:bookmarkStart w:id="18" w:name="_Toc188638789"/>
      <w:r>
        <w:rPr>
          <w:rFonts w:hint="eastAsia" w:asciiTheme="minorEastAsia" w:hAnsiTheme="minorEastAsia" w:eastAsiaTheme="minorEastAsia"/>
          <w:b/>
          <w:color w:val="000000" w:themeColor="text1"/>
          <w:sz w:val="32"/>
          <w:szCs w:val="32"/>
          <w14:textFill>
            <w14:solidFill>
              <w14:schemeClr w14:val="tx1"/>
            </w14:solidFill>
          </w14:textFill>
        </w:rPr>
        <w:t xml:space="preserve">第二章  </w:t>
      </w:r>
      <w:bookmarkEnd w:id="1"/>
      <w:r>
        <w:rPr>
          <w:rFonts w:hint="eastAsia" w:asciiTheme="minorEastAsia" w:hAnsiTheme="minorEastAsia" w:eastAsiaTheme="minorEastAsia"/>
          <w:b/>
          <w:color w:val="000000" w:themeColor="text1"/>
          <w:sz w:val="32"/>
          <w:szCs w:val="32"/>
          <w14:textFill>
            <w14:solidFill>
              <w14:schemeClr w14:val="tx1"/>
            </w14:solidFill>
          </w14:textFill>
        </w:rPr>
        <w:t>供应商须知</w:t>
      </w:r>
      <w:bookmarkEnd w:id="18"/>
    </w:p>
    <w:p>
      <w:pPr>
        <w:pStyle w:val="3"/>
        <w:tabs>
          <w:tab w:val="left" w:pos="2"/>
        </w:tabs>
        <w:spacing w:line="480" w:lineRule="exact"/>
        <w:ind w:left="0"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19" w:name="_Toc137661583"/>
      <w:bookmarkStart w:id="20" w:name="_Toc188638790"/>
      <w:bookmarkStart w:id="21" w:name="_Hlk518645910"/>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一、供应商须知</w:t>
      </w:r>
      <w:bookmarkEnd w:id="19"/>
      <w:bookmarkEnd w:id="20"/>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1、报价要求</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1.1 供应商应遵照第六章《响应文件格式》的要求进行报价。响应报价应包括第五章《技术标准及要求》中所要求的全部费用，只要投报了一个确定数额的总价，无论分项价格是否全部填报了相应的金额或免费字样，报价应被视为已经包含了完成该项目的各种费用。由于分项报价填报不完整、不清楚或存在其它任何失误，所导致的任何不利后果均应当由供应商自行承担。</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1.2 供应商编制报价时应充分考虑项目的总体情况以及影响报价的其他要素，并对报价的准确性负责，任何漏报、错报等均是供应商的风险。采购人不接受可选择或可调整的投标方案和报价，任何有选择的或可调整的投标方案和报价将被否决。</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1.3 当单价与总价不一致时，以单价修正总价。报价中不得包含询比文件要求以外的内容，否则，在评标时不予核减。报价中也不得缺漏询比文件所要求的内容，否则，评标时将有效响应文件中该项内容的最高价计入其总报价。</w:t>
      </w:r>
    </w:p>
    <w:p>
      <w:pPr>
        <w:pStyle w:val="16"/>
        <w:spacing w:line="480" w:lineRule="exact"/>
        <w:ind w:left="0" w:leftChars="0" w:firstLine="482" w:firstLineChars="200"/>
        <w:rPr>
          <w:rFonts w:hint="eastAsia" w:asciiTheme="minorEastAsia" w:hAnsiTheme="minorEastAsia" w:eastAsiaTheme="minorEastAsia"/>
          <w:b/>
          <w:bCs w:val="0"/>
          <w:i w:val="0"/>
          <w:iCs w:val="0"/>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b/>
          <w:bCs w:val="0"/>
          <w:i w:val="0"/>
          <w:iCs w:val="0"/>
          <w:color w:val="000000" w:themeColor="text1"/>
          <w:sz w:val="24"/>
          <w:szCs w:val="24"/>
          <w:lang w:val="en-US" w:eastAsia="zh-CN"/>
          <w14:textFill>
            <w14:solidFill>
              <w14:schemeClr w14:val="tx1"/>
            </w14:solidFill>
          </w14:textFill>
        </w:rPr>
        <w:t>1.4本项目涉及的管材、管件、阀门等均由采购人通过集采提供，报价不得含有相关采购费用。</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1.</w:t>
      </w:r>
      <w:r>
        <w:rPr>
          <w:rFonts w:hint="eastAsia" w:cs="Times New Roman" w:asciiTheme="minorEastAsia" w:hAnsiTheme="minorEastAsia"/>
          <w:b w:val="0"/>
          <w:bCs/>
          <w:color w:val="000000" w:themeColor="text1"/>
          <w:sz w:val="24"/>
          <w:szCs w:val="24"/>
          <w:lang w:val="en-US" w:eastAsia="zh-CN"/>
          <w14:textFill>
            <w14:solidFill>
              <w14:schemeClr w14:val="tx1"/>
            </w14:solidFill>
          </w14:textFill>
        </w:rPr>
        <w:t>5</w:t>
      </w:r>
      <w:r>
        <w:rPr>
          <w:rFonts w:hint="eastAsia" w:cs="Times New Roman" w:asciiTheme="minorEastAsia" w:hAnsiTheme="minorEastAsia"/>
          <w:b w:val="0"/>
          <w:bCs/>
          <w:color w:val="000000" w:themeColor="text1"/>
          <w:sz w:val="24"/>
          <w:szCs w:val="24"/>
          <w14:textFill>
            <w14:solidFill>
              <w14:schemeClr w14:val="tx1"/>
            </w14:solidFill>
          </w14:textFill>
        </w:rPr>
        <w:t>本项目最高投标限价人民币</w:t>
      </w:r>
      <w:r>
        <w:rPr>
          <w:rFonts w:hint="eastAsia" w:cs="Times New Roman" w:asciiTheme="minorEastAsia" w:hAnsiTheme="minorEastAsia"/>
          <w:b w:val="0"/>
          <w:bCs/>
          <w:color w:val="000000" w:themeColor="text1"/>
          <w:sz w:val="24"/>
          <w:szCs w:val="24"/>
          <w:u w:val="none"/>
          <w14:textFill>
            <w14:solidFill>
              <w14:schemeClr w14:val="tx1"/>
            </w14:solidFill>
          </w14:textFill>
        </w:rPr>
        <w:t xml:space="preserve">  </w:t>
      </w:r>
      <w:r>
        <w:rPr>
          <w:rFonts w:hint="eastAsia" w:cs="Times New Roman" w:asciiTheme="minorEastAsia" w:hAnsiTheme="minorEastAsia"/>
          <w:b w:val="0"/>
          <w:bCs/>
          <w:color w:val="000000" w:themeColor="text1"/>
          <w:sz w:val="24"/>
          <w:szCs w:val="24"/>
          <w:u w:val="none"/>
          <w:lang w:val="en-US" w:eastAsia="zh-CN"/>
          <w14:textFill>
            <w14:solidFill>
              <w14:schemeClr w14:val="tx1"/>
            </w14:solidFill>
          </w14:textFill>
        </w:rPr>
        <w:t>41</w:t>
      </w:r>
      <w:r>
        <w:rPr>
          <w:rFonts w:hint="eastAsia" w:cs="Times New Roman" w:asciiTheme="minorEastAsia" w:hAnsiTheme="minorEastAsia"/>
          <w:b w:val="0"/>
          <w:bCs/>
          <w:color w:val="000000" w:themeColor="text1"/>
          <w:sz w:val="24"/>
          <w:szCs w:val="24"/>
          <w:u w:val="none"/>
          <w14:textFill>
            <w14:solidFill>
              <w14:schemeClr w14:val="tx1"/>
            </w14:solidFill>
          </w14:textFill>
        </w:rPr>
        <w:t xml:space="preserve">万 </w:t>
      </w:r>
      <w:r>
        <w:rPr>
          <w:rFonts w:hint="eastAsia" w:cs="Times New Roman" w:asciiTheme="minorEastAsia" w:hAnsiTheme="minorEastAsia"/>
          <w:b w:val="0"/>
          <w:bCs/>
          <w:color w:val="000000" w:themeColor="text1"/>
          <w:sz w:val="24"/>
          <w:szCs w:val="24"/>
          <w14:textFill>
            <w14:solidFill>
              <w14:schemeClr w14:val="tx1"/>
            </w14:solidFill>
          </w14:textFill>
        </w:rPr>
        <w:t>元，报价超过最高投标限价的投标无效。</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2、询比费用：</w:t>
      </w:r>
      <w:r>
        <w:rPr>
          <w:rFonts w:hint="eastAsia" w:cs="Times New Roman" w:asciiTheme="minorEastAsia" w:hAnsiTheme="minorEastAsia"/>
          <w:bCs/>
          <w:color w:val="000000" w:themeColor="text1"/>
          <w:sz w:val="24"/>
          <w:szCs w:val="24"/>
          <w14:textFill>
            <w14:solidFill>
              <w14:schemeClr w14:val="tx1"/>
            </w14:solidFill>
          </w14:textFill>
        </w:rPr>
        <w:t>无论询比过程中的作法和结果如何，供应商自行承担所有与参加询比有关的全部费用。</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 w:val="0"/>
          <w:bCs/>
          <w:color w:val="000000" w:themeColor="text1"/>
          <w14:textFill>
            <w14:solidFill>
              <w14:schemeClr w14:val="tx1"/>
            </w14:solidFill>
          </w14:textFill>
        </w:rPr>
        <w:t>3、响应文件的有效期：</w:t>
      </w:r>
      <w:r>
        <w:rPr>
          <w:rFonts w:hint="eastAsia" w:cs="Times New Roman" w:asciiTheme="minorEastAsia" w:hAnsiTheme="minorEastAsia" w:eastAsiaTheme="minorEastAsia"/>
          <w:bCs/>
          <w:color w:val="000000" w:themeColor="text1"/>
          <w14:textFill>
            <w14:solidFill>
              <w14:schemeClr w14:val="tx1"/>
            </w14:solidFill>
          </w14:textFill>
        </w:rPr>
        <w:t>自报价截止日期起180天。</w:t>
      </w:r>
    </w:p>
    <w:p>
      <w:pPr>
        <w:spacing w:line="480" w:lineRule="exact"/>
        <w:ind w:firstLine="480" w:firstLineChars="200"/>
        <w:rPr>
          <w:rFonts w:hint="eastAsia" w:cs="Times New Roman" w:asciiTheme="minorEastAsia" w:hAnsiTheme="minorEastAsia" w:eastAsiaTheme="minorEastAsia"/>
          <w:b w:val="0"/>
          <w:bCs/>
          <w:color w:val="000000" w:themeColor="text1"/>
          <w14:textFill>
            <w14:solidFill>
              <w14:schemeClr w14:val="tx1"/>
            </w14:solidFill>
          </w14:textFill>
        </w:rPr>
      </w:pPr>
    </w:p>
    <w:p>
      <w:pPr>
        <w:pStyle w:val="3"/>
        <w:tabs>
          <w:tab w:val="left" w:pos="2"/>
        </w:tabs>
        <w:spacing w:line="480" w:lineRule="exact"/>
        <w:ind w:left="0"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22" w:name="_Toc137661584"/>
      <w:bookmarkStart w:id="23" w:name="_Toc188638791"/>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二、响应文件组成</w:t>
      </w:r>
      <w:bookmarkEnd w:id="22"/>
      <w:bookmarkEnd w:id="23"/>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1、封面；</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2、报价函；</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3、法定代表人身份证明、授权委托书；</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4、资格证明文件；</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5、分项报价表；</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6、商务条款偏离表；</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7、技术偏离表；</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8、详细的技术响应方案和服务承诺；</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9、询比文件要求的其他资料。</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p>
    <w:p>
      <w:pPr>
        <w:pStyle w:val="3"/>
        <w:tabs>
          <w:tab w:val="left" w:pos="2"/>
        </w:tabs>
        <w:spacing w:line="480" w:lineRule="exact"/>
        <w:ind w:left="0" w:firstLine="482" w:firstLineChars="20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24" w:name="_Toc137661586"/>
      <w:bookmarkStart w:id="25" w:name="_Toc188638792"/>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三、响应文件制作、密封、标识和递交</w:t>
      </w:r>
      <w:bookmarkEnd w:id="24"/>
      <w:bookmarkEnd w:id="25"/>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1、响应文件一式三份。其中</w:t>
      </w:r>
      <w:r>
        <w:rPr>
          <w:rFonts w:hint="eastAsia" w:cs="Times New Roman" w:asciiTheme="minorEastAsia" w:hAnsiTheme="minorEastAsia"/>
          <w:b w:val="0"/>
          <w:bCs/>
          <w:color w:val="000000" w:themeColor="text1"/>
          <w:sz w:val="24"/>
          <w:szCs w:val="24"/>
          <w14:textFill>
            <w14:solidFill>
              <w14:schemeClr w14:val="tx1"/>
            </w14:solidFill>
          </w14:textFill>
        </w:rPr>
        <w:t>正本一份，副本二份，电子版文件1份</w:t>
      </w:r>
      <w:r>
        <w:rPr>
          <w:rFonts w:hint="eastAsia" w:cs="Times New Roman" w:asciiTheme="minorEastAsia" w:hAnsiTheme="minorEastAsia"/>
          <w:bCs/>
          <w:color w:val="000000" w:themeColor="text1"/>
          <w:sz w:val="24"/>
          <w:szCs w:val="24"/>
          <w14:textFill>
            <w14:solidFill>
              <w14:schemeClr w14:val="tx1"/>
            </w14:solidFill>
          </w14:textFill>
        </w:rPr>
        <w:t>（正本盖章扫描件，PDF格式，光盘或U盘）。如果正本和副本不符，应以正本为准。正本必须用不褪色的墨水填写或打印，副本可以是正本的复印件。每套文件必须清楚地标明“正本”、“副本”。</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2、响应文件应采用A4规格、左侧装订，装订方式应牢固、美观，不得采用活页方式装订。对于比较大的图表可使用A3规格纸张，但须将A3纸折叠成A4纸大小并统一装订。</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3、</w:t>
      </w:r>
      <w:r>
        <w:rPr>
          <w:rFonts w:hint="eastAsia" w:cs="Times New Roman" w:asciiTheme="minorEastAsia" w:hAnsiTheme="minorEastAsia" w:eastAsiaTheme="minorEastAsia"/>
          <w:b w:val="0"/>
          <w:bCs/>
          <w:color w:val="000000" w:themeColor="text1"/>
          <w14:textFill>
            <w14:solidFill>
              <w14:schemeClr w14:val="tx1"/>
            </w14:solidFill>
          </w14:textFill>
        </w:rPr>
        <w:t>响应文件不得涂改和增删。</w:t>
      </w:r>
      <w:r>
        <w:rPr>
          <w:rFonts w:hint="eastAsia" w:cs="Times New Roman" w:asciiTheme="minorEastAsia" w:hAnsiTheme="minorEastAsia" w:eastAsiaTheme="minorEastAsia"/>
          <w:bCs/>
          <w:color w:val="000000" w:themeColor="text1"/>
          <w14:textFill>
            <w14:solidFill>
              <w14:schemeClr w14:val="tx1"/>
            </w14:solidFill>
          </w14:textFill>
        </w:rPr>
        <w:t>如有修改错漏处，必须由法定代表人或授权代表签字并盖章。因字迹潦草或表达不清所引起的后果由供应商负责。</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4、响应文件须密封封装。封口处应有供应商法定代表人或授权代表的签字或供应商单位公章。封皮上写明项目名称、项目编号、供应商名称，并注明“正本”或“副本”或“电子版”字样。</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5、响应文件必须在投标截止时间前由供应商代表</w:t>
      </w:r>
      <w:r>
        <w:rPr>
          <w:rFonts w:hint="eastAsia" w:cs="Times New Roman" w:asciiTheme="minorEastAsia" w:hAnsiTheme="minorEastAsia" w:eastAsiaTheme="minorEastAsia"/>
          <w:bCs/>
          <w:color w:val="000000" w:themeColor="text1"/>
          <w:lang w:val="en-US" w:eastAsia="zh-CN"/>
          <w14:textFill>
            <w14:solidFill>
              <w14:schemeClr w14:val="tx1"/>
            </w14:solidFill>
          </w14:textFill>
        </w:rPr>
        <w:t>邮寄</w:t>
      </w:r>
      <w:r>
        <w:rPr>
          <w:rFonts w:hint="eastAsia" w:cs="Times New Roman" w:asciiTheme="minorEastAsia" w:hAnsiTheme="minorEastAsia" w:eastAsiaTheme="minorEastAsia"/>
          <w:bCs/>
          <w:color w:val="000000" w:themeColor="text1"/>
          <w14:textFill>
            <w14:solidFill>
              <w14:schemeClr w14:val="tx1"/>
            </w14:solidFill>
          </w14:textFill>
        </w:rPr>
        <w:t>至本询比文件规定的地点，不接受其它递交方式。在投标截止时间以后送达的响应文件，采购人拒绝接收。</w:t>
      </w:r>
    </w:p>
    <w:p>
      <w:pPr>
        <w:pStyle w:val="3"/>
        <w:keepNext w:val="0"/>
        <w:keepLines w:val="0"/>
        <w:pageBreakBefore w:val="0"/>
        <w:tabs>
          <w:tab w:val="left" w:pos="2"/>
        </w:tabs>
        <w:wordWrap/>
        <w:topLinePunct w:val="0"/>
        <w:bidi w:val="0"/>
        <w:snapToGrid w:val="0"/>
        <w:spacing w:line="480" w:lineRule="exact"/>
        <w:ind w:firstLineChars="200"/>
        <w:jc w:val="left"/>
        <w:textAlignment w:val="auto"/>
        <w:rPr>
          <w:rFonts w:hint="eastAsia" w:cs="Times New Roman" w:asciiTheme="minorEastAsia" w:hAnsiTheme="minorEastAsia" w:eastAsiaTheme="minorEastAsia"/>
          <w:b/>
          <w:bCs w:val="0"/>
          <w:i w:val="0"/>
          <w:iCs w:val="0"/>
          <w:color w:val="000000" w:themeColor="text1"/>
          <w:kern w:val="0"/>
          <w:sz w:val="24"/>
          <w:szCs w:val="44"/>
          <w:highlight w:val="none"/>
          <w:lang w:eastAsia="zh-CN"/>
          <w14:textFill>
            <w14:solidFill>
              <w14:schemeClr w14:val="tx1"/>
            </w14:solidFill>
          </w14:textFill>
        </w:rPr>
      </w:pPr>
      <w:r>
        <w:rPr>
          <w:rFonts w:hint="eastAsia" w:cs="Times New Roman" w:asciiTheme="minorEastAsia" w:hAnsiTheme="minorEastAsia" w:eastAsiaTheme="minorEastAsia"/>
          <w:b/>
          <w:bCs w:val="0"/>
          <w:i w:val="0"/>
          <w:iCs w:val="0"/>
          <w:color w:val="000000" w:themeColor="text1"/>
          <w:kern w:val="0"/>
          <w:sz w:val="24"/>
          <w:szCs w:val="44"/>
          <w:lang w:val="en-US" w:eastAsia="zh-CN"/>
          <w14:textFill>
            <w14:solidFill>
              <w14:schemeClr w14:val="tx1"/>
            </w14:solidFill>
          </w14:textFill>
        </w:rPr>
        <w:t>四、</w:t>
      </w:r>
      <w:r>
        <w:rPr>
          <w:rFonts w:hint="eastAsia" w:cs="Times New Roman" w:asciiTheme="minorEastAsia" w:hAnsiTheme="minorEastAsia" w:eastAsiaTheme="minorEastAsia"/>
          <w:b/>
          <w:bCs w:val="0"/>
          <w:i w:val="0"/>
          <w:iCs w:val="0"/>
          <w:color w:val="000000" w:themeColor="text1"/>
          <w:kern w:val="0"/>
          <w:sz w:val="24"/>
          <w:szCs w:val="44"/>
          <w14:textFill>
            <w14:solidFill>
              <w14:schemeClr w14:val="tx1"/>
            </w14:solidFill>
          </w14:textFill>
        </w:rPr>
        <w:t>响应文件的开启与陈述</w:t>
      </w:r>
    </w:p>
    <w:p>
      <w:pPr>
        <w:keepNext w:val="0"/>
        <w:keepLines w:val="0"/>
        <w:pageBreakBefore w:val="0"/>
        <w:wordWrap/>
        <w:topLinePunct w:val="0"/>
        <w:bidi w:val="0"/>
        <w:snapToGrid w:val="0"/>
        <w:spacing w:line="480" w:lineRule="exact"/>
        <w:ind w:left="237" w:right="102" w:firstLine="480" w:firstLineChars="200"/>
        <w:textAlignment w:val="auto"/>
        <w:outlineLvl w:val="2"/>
        <w:rPr>
          <w:rFonts w:hint="eastAsia" w:cs="Times New Roman" w:asciiTheme="minorEastAsia" w:hAnsiTheme="minorEastAsia" w:eastAsiaTheme="minorEastAsia"/>
          <w:b w:val="0"/>
          <w:bCs/>
          <w:i w:val="0"/>
          <w:iCs w:val="0"/>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i w:val="0"/>
          <w:iCs w:val="0"/>
          <w:color w:val="000000" w:themeColor="text1"/>
          <w:sz w:val="24"/>
          <w:szCs w:val="24"/>
          <w:highlight w:val="none"/>
          <w:lang w:val="en-US" w:eastAsia="zh-CN"/>
          <w14:textFill>
            <w14:solidFill>
              <w14:schemeClr w14:val="tx1"/>
            </w14:solidFill>
          </w14:textFill>
        </w:rPr>
        <w:t>1、响应文件的开启</w:t>
      </w:r>
    </w:p>
    <w:p>
      <w:pPr>
        <w:keepNext w:val="0"/>
        <w:keepLines w:val="0"/>
        <w:pageBreakBefore w:val="0"/>
        <w:wordWrap/>
        <w:topLinePunct w:val="0"/>
        <w:bidi w:val="0"/>
        <w:snapToGrid w:val="0"/>
        <w:spacing w:line="480" w:lineRule="exact"/>
        <w:ind w:left="100" w:right="111" w:firstLine="480" w:firstLineChars="200"/>
        <w:textAlignment w:val="auto"/>
        <w:outlineLvl w:val="9"/>
        <w:rPr>
          <w:rFonts w:hint="eastAsia" w:cs="Times New Roman" w:asciiTheme="minorEastAsia" w:hAnsiTheme="minorEastAsia" w:eastAsiaTheme="minorEastAsia"/>
          <w:bCs/>
          <w:i w:val="0"/>
          <w:iCs w:val="0"/>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Cs/>
          <w:i w:val="0"/>
          <w:iCs w:val="0"/>
          <w:color w:val="000000" w:themeColor="text1"/>
          <w:sz w:val="24"/>
          <w:szCs w:val="24"/>
          <w:highlight w:val="none"/>
          <w:lang w:val="en-US" w:eastAsia="zh-CN"/>
          <w14:textFill>
            <w14:solidFill>
              <w14:schemeClr w14:val="tx1"/>
            </w14:solidFill>
          </w14:textFill>
        </w:rPr>
        <w:t>询比采购不设置文件公开开启仪式。</w:t>
      </w:r>
    </w:p>
    <w:p>
      <w:pPr>
        <w:keepNext w:val="0"/>
        <w:keepLines w:val="0"/>
        <w:pageBreakBefore w:val="0"/>
        <w:wordWrap/>
        <w:topLinePunct w:val="0"/>
        <w:bidi w:val="0"/>
        <w:snapToGrid w:val="0"/>
        <w:spacing w:line="480" w:lineRule="exact"/>
        <w:ind w:left="237" w:right="102" w:firstLine="480" w:firstLineChars="200"/>
        <w:textAlignment w:val="auto"/>
        <w:outlineLvl w:val="2"/>
        <w:rPr>
          <w:rFonts w:hint="eastAsia" w:cs="Times New Roman" w:asciiTheme="minorEastAsia" w:hAnsiTheme="minorEastAsia" w:eastAsiaTheme="minorEastAsia"/>
          <w:b w:val="0"/>
          <w:bCs/>
          <w:i w:val="0"/>
          <w:iCs w:val="0"/>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b w:val="0"/>
          <w:bCs/>
          <w:i w:val="0"/>
          <w:iCs w:val="0"/>
          <w:color w:val="000000" w:themeColor="text1"/>
          <w:sz w:val="24"/>
          <w:szCs w:val="24"/>
          <w:highlight w:val="none"/>
          <w:lang w:val="en-US" w:eastAsia="zh-CN"/>
          <w14:textFill>
            <w14:solidFill>
              <w14:schemeClr w14:val="tx1"/>
            </w14:solidFill>
          </w14:textFill>
        </w:rPr>
        <w:t>2、响应文件的陈述</w:t>
      </w:r>
    </w:p>
    <w:p>
      <w:pPr>
        <w:keepNext w:val="0"/>
        <w:keepLines w:val="0"/>
        <w:pageBreakBefore w:val="0"/>
        <w:wordWrap/>
        <w:topLinePunct w:val="0"/>
        <w:bidi w:val="0"/>
        <w:snapToGrid w:val="0"/>
        <w:spacing w:line="480" w:lineRule="exact"/>
        <w:ind w:left="100" w:right="111" w:firstLine="480" w:firstLineChars="200"/>
        <w:textAlignment w:val="auto"/>
        <w:outlineLvl w:val="9"/>
        <w:rPr>
          <w:rFonts w:hint="eastAsia" w:cs="Times New Roman" w:asciiTheme="minorEastAsia" w:hAnsiTheme="minorEastAsia" w:eastAsiaTheme="minorEastAsia"/>
          <w:bCs/>
          <w:i w:val="0"/>
          <w:iCs w:val="0"/>
          <w:color w:val="000000" w:themeColor="text1"/>
          <w:sz w:val="24"/>
          <w:szCs w:val="24"/>
          <w:lang w:eastAsia="zh-CN"/>
          <w14:textFill>
            <w14:solidFill>
              <w14:schemeClr w14:val="tx1"/>
            </w14:solidFill>
          </w14:textFill>
        </w:rPr>
      </w:pPr>
      <w:r>
        <w:rPr>
          <w:rFonts w:hint="eastAsia" w:cs="Times New Roman" w:asciiTheme="minorEastAsia" w:hAnsiTheme="minorEastAsia" w:eastAsiaTheme="minorEastAsia"/>
          <w:bCs/>
          <w:i w:val="0"/>
          <w:iCs w:val="0"/>
          <w:color w:val="000000" w:themeColor="text1"/>
          <w:sz w:val="24"/>
          <w:szCs w:val="24"/>
          <w:highlight w:val="none"/>
          <w:lang w:val="en-US" w:eastAsia="zh-CN"/>
          <w14:textFill>
            <w14:solidFill>
              <w14:schemeClr w14:val="tx1"/>
            </w14:solidFill>
          </w14:textFill>
        </w:rPr>
        <w:t>本项目不安排陈述。</w:t>
      </w:r>
    </w:p>
    <w:p>
      <w:pPr>
        <w:pStyle w:val="3"/>
        <w:tabs>
          <w:tab w:val="left" w:pos="2"/>
        </w:tabs>
        <w:spacing w:line="480" w:lineRule="exact"/>
        <w:ind w:left="0" w:firstLine="0" w:firstLineChars="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26" w:name="_Toc137661588"/>
      <w:bookmarkStart w:id="27" w:name="_Toc188638793"/>
      <w:r>
        <w:rPr>
          <w:rStyle w:val="35"/>
          <w:rFonts w:hint="eastAsia" w:cs="Times New Roman" w:asciiTheme="minorEastAsia" w:hAnsiTheme="minorEastAsia" w:eastAsiaTheme="minorEastAsia"/>
          <w:b/>
          <w:bCs w:val="0"/>
          <w:color w:val="000000" w:themeColor="text1"/>
          <w:kern w:val="0"/>
          <w:sz w:val="24"/>
          <w:lang w:val="en-US" w:eastAsia="zh-CN"/>
          <w14:textFill>
            <w14:solidFill>
              <w14:schemeClr w14:val="tx1"/>
            </w14:solidFill>
          </w14:textFill>
        </w:rPr>
        <w:t>五</w:t>
      </w:r>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、评审</w:t>
      </w:r>
      <w:bookmarkEnd w:id="26"/>
      <w:bookmarkEnd w:id="27"/>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1、评审小组</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bookmarkStart w:id="28" w:name="_Hlk187074589"/>
      <w:r>
        <w:rPr>
          <w:rFonts w:hint="eastAsia" w:cs="Times New Roman" w:asciiTheme="minorEastAsia" w:hAnsiTheme="minorEastAsia"/>
          <w:bCs/>
          <w:color w:val="000000" w:themeColor="text1"/>
          <w:sz w:val="24"/>
          <w:szCs w:val="24"/>
          <w14:textFill>
            <w14:solidFill>
              <w14:schemeClr w14:val="tx1"/>
            </w14:solidFill>
          </w14:textFill>
        </w:rPr>
        <w:t>评审小组由3人（含）以上单数组成</w:t>
      </w:r>
      <w:bookmarkEnd w:id="28"/>
      <w:r>
        <w:rPr>
          <w:rFonts w:hint="eastAsia" w:cs="Times New Roman" w:asciiTheme="minorEastAsia" w:hAnsiTheme="minorEastAsia"/>
          <w:bCs/>
          <w:color w:val="000000" w:themeColor="text1"/>
          <w:sz w:val="24"/>
          <w:szCs w:val="24"/>
          <w14:textFill>
            <w14:solidFill>
              <w14:schemeClr w14:val="tx1"/>
            </w14:solidFill>
          </w14:textFill>
        </w:rPr>
        <w:t>。</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2、综合评审</w:t>
      </w:r>
    </w:p>
    <w:p>
      <w:pPr>
        <w:keepNext w:val="0"/>
        <w:keepLines w:val="0"/>
        <w:pageBreakBefore w:val="0"/>
        <w:wordWrap/>
        <w:topLinePunct w:val="0"/>
        <w:bidi w:val="0"/>
        <w:snapToGrid w:val="0"/>
        <w:spacing w:line="480" w:lineRule="exact"/>
        <w:ind w:left="100" w:right="111" w:firstLine="480" w:firstLineChars="200"/>
        <w:textAlignment w:val="auto"/>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pPr>
      <w:bookmarkStart w:id="29" w:name="_Toc256519704"/>
      <w:bookmarkStart w:id="30" w:name="_Toc462316794"/>
      <w:bookmarkStart w:id="31" w:name="_Toc254788497"/>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bCs/>
          <w:i w:val="0"/>
          <w:iCs w:val="0"/>
          <w:color w:val="000000" w:themeColor="text1"/>
          <w:sz w:val="24"/>
          <w:szCs w:val="24"/>
          <w:highlight w:val="none"/>
          <w:lang w:val="en-US" w:eastAsia="zh-CN"/>
          <w14:textFill>
            <w14:solidFill>
              <w14:schemeClr w14:val="tx1"/>
            </w14:solidFill>
          </w14:textFill>
        </w:rPr>
        <w:t>1</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）评审小组</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按照第三章</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“评审</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办法</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规定的方法、评审因素、标准和程序对</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响应文件</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进行评审。</w:t>
      </w:r>
      <w:bookmarkEnd w:id="29"/>
      <w:bookmarkEnd w:id="30"/>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第三章</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“评审</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办法</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没有规定的方法、评审因素和标准，不作为</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评审</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依据。</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bCs/>
          <w:i w:val="0"/>
          <w:iCs w:val="0"/>
          <w:color w:val="000000" w:themeColor="text1"/>
          <w:sz w:val="24"/>
          <w:szCs w:val="24"/>
          <w:highlight w:val="none"/>
          <w:lang w:val="en-US" w:eastAsia="zh-CN"/>
          <w14:textFill>
            <w14:solidFill>
              <w14:schemeClr w14:val="tx1"/>
            </w14:solidFill>
          </w14:textFill>
        </w:rPr>
        <w:t>2</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 xml:space="preserve"> </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评审</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完成后，</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评审小组</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应当向</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采购人</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提交书面</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评审</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报告和</w:t>
      </w:r>
      <w:r>
        <w:rPr>
          <w:rFonts w:hint="eastAsia" w:cs="Times New Roman" w:asciiTheme="minorEastAsia" w:hAnsiTheme="minorEastAsia" w:eastAsiaTheme="minorEastAsia"/>
          <w:bCs/>
          <w:i w:val="0"/>
          <w:iCs w:val="0"/>
          <w:color w:val="000000" w:themeColor="text1"/>
          <w:sz w:val="24"/>
          <w:szCs w:val="24"/>
          <w:highlight w:val="none"/>
          <w:lang w:eastAsia="zh-CN"/>
          <w14:textFill>
            <w14:solidFill>
              <w14:schemeClr w14:val="tx1"/>
            </w14:solidFill>
          </w14:textFill>
        </w:rPr>
        <w:t>成交</w:t>
      </w:r>
      <w:r>
        <w:rPr>
          <w:rFonts w:hint="eastAsia" w:cs="Times New Roman" w:asciiTheme="minorEastAsia" w:hAnsiTheme="minorEastAsia" w:eastAsiaTheme="minorEastAsia"/>
          <w:bCs/>
          <w:i w:val="0"/>
          <w:iCs w:val="0"/>
          <w:color w:val="000000" w:themeColor="text1"/>
          <w:sz w:val="24"/>
          <w:szCs w:val="24"/>
          <w:highlight w:val="none"/>
          <w14:textFill>
            <w14:solidFill>
              <w14:schemeClr w14:val="tx1"/>
            </w14:solidFill>
          </w14:textFill>
        </w:rPr>
        <w:t>候选人名单。</w:t>
      </w:r>
      <w:bookmarkEnd w:id="31"/>
      <w:r>
        <w:rPr>
          <w:rFonts w:hint="eastAsia" w:cs="Times New Roman" w:asciiTheme="minorEastAsia" w:hAnsiTheme="minorEastAsia"/>
          <w:bCs/>
          <w:color w:val="000000" w:themeColor="text1"/>
          <w:sz w:val="24"/>
          <w:szCs w:val="24"/>
          <w14:textFill>
            <w14:solidFill>
              <w14:schemeClr w14:val="tx1"/>
            </w14:solidFill>
          </w14:textFill>
        </w:rPr>
        <w:t>具体评审标准见“第三章 评审办法”。</w:t>
      </w:r>
    </w:p>
    <w:p>
      <w:pPr>
        <w:pStyle w:val="3"/>
        <w:tabs>
          <w:tab w:val="left" w:pos="2"/>
        </w:tabs>
        <w:spacing w:line="480" w:lineRule="exact"/>
        <w:ind w:left="0" w:firstLine="0" w:firstLineChars="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32" w:name="_Toc188638794"/>
      <w:r>
        <w:rPr>
          <w:rStyle w:val="35"/>
          <w:rFonts w:hint="eastAsia" w:cs="Times New Roman" w:asciiTheme="minorEastAsia" w:hAnsiTheme="minorEastAsia" w:eastAsiaTheme="minorEastAsia"/>
          <w:b/>
          <w:bCs w:val="0"/>
          <w:color w:val="000000" w:themeColor="text1"/>
          <w:kern w:val="0"/>
          <w:sz w:val="24"/>
          <w:lang w:val="en-US" w:eastAsia="zh-CN"/>
          <w14:textFill>
            <w14:solidFill>
              <w14:schemeClr w14:val="tx1"/>
            </w14:solidFill>
          </w14:textFill>
        </w:rPr>
        <w:t>六</w:t>
      </w:r>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w:t>
      </w:r>
      <w:r>
        <w:rPr>
          <w:rFonts w:hint="eastAsia" w:cs="Times New Roman" w:asciiTheme="minorEastAsia" w:hAnsiTheme="minorEastAsia" w:eastAsiaTheme="minorEastAsia"/>
          <w:b/>
          <w:bCs w:val="0"/>
          <w:color w:val="000000" w:themeColor="text1"/>
          <w:kern w:val="0"/>
          <w:szCs w:val="44"/>
          <w14:textFill>
            <w14:solidFill>
              <w14:schemeClr w14:val="tx1"/>
            </w14:solidFill>
          </w14:textFill>
        </w:rPr>
        <w:t>响应异常处理原则</w:t>
      </w:r>
      <w:bookmarkEnd w:id="32"/>
    </w:p>
    <w:p>
      <w:pPr>
        <w:numPr>
          <w:ilvl w:val="0"/>
          <w:numId w:val="0"/>
        </w:numPr>
        <w:spacing w:line="480" w:lineRule="exact"/>
        <w:ind w:firstLine="480" w:firstLineChars="200"/>
        <w:jc w:val="left"/>
        <w:rPr>
          <w:rFonts w:hint="eastAsia" w:cs="Times New Roman" w:asciiTheme="minorEastAsia" w:hAnsiTheme="minorEastAsia" w:eastAsiaTheme="minorEastAsia"/>
          <w:bCs/>
          <w:color w:val="000000" w:themeColor="text1"/>
          <w:sz w:val="24"/>
          <w:szCs w:val="24"/>
          <w:lang w:val="en-US" w:eastAsia="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lang w:val="en-US" w:eastAsia="zh-CN"/>
          <w14:textFill>
            <w14:solidFill>
              <w14:schemeClr w14:val="tx1"/>
            </w14:solidFill>
          </w14:textFill>
        </w:rPr>
        <w:t>公开询比采购，若递交响应文件的供应商或符合资格审查要求的供应商仅有2家时，可转为与其谈判采购；仅有一家需由评审小组按照谈判采购响应异常处理程序执行，评审小组根据潜在供应商资质资格、业绩、以往履约表现等综合论证是否可转为与其直接采购，并在评审报告中写明。</w:t>
      </w:r>
    </w:p>
    <w:p>
      <w:pPr>
        <w:pStyle w:val="3"/>
        <w:tabs>
          <w:tab w:val="left" w:pos="2"/>
        </w:tabs>
        <w:spacing w:line="480" w:lineRule="exact"/>
        <w:ind w:left="0" w:firstLine="0" w:firstLineChars="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33" w:name="_Toc137661590"/>
      <w:bookmarkStart w:id="34" w:name="_Toc188638795"/>
      <w:r>
        <w:rPr>
          <w:rStyle w:val="35"/>
          <w:rFonts w:hint="eastAsia" w:cs="Times New Roman" w:asciiTheme="minorEastAsia" w:hAnsiTheme="minorEastAsia" w:eastAsiaTheme="minorEastAsia"/>
          <w:b/>
          <w:bCs w:val="0"/>
          <w:color w:val="000000" w:themeColor="text1"/>
          <w:kern w:val="0"/>
          <w:sz w:val="24"/>
          <w:lang w:val="en-US" w:eastAsia="zh-CN"/>
          <w14:textFill>
            <w14:solidFill>
              <w14:schemeClr w14:val="tx1"/>
            </w14:solidFill>
          </w14:textFill>
        </w:rPr>
        <w:t>七</w:t>
      </w:r>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、采购项目</w:t>
      </w:r>
      <w:bookmarkEnd w:id="33"/>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否决</w:t>
      </w:r>
      <w:bookmarkEnd w:id="34"/>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1、在评审过程中，评审小组发现有下列情形之一的，应对采购项目予以废标，并作出书面报告。</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（1）出现影响采购公正的违法、违规行为的；</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（2）供应商的报价均超过了采购预算；</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（3）因重大变故，采购任务取消的。</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2、项目废标后，采购人将依法重新组织采购。</w:t>
      </w:r>
    </w:p>
    <w:p>
      <w:pPr>
        <w:pStyle w:val="15"/>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p>
    <w:p>
      <w:pPr>
        <w:pStyle w:val="3"/>
        <w:tabs>
          <w:tab w:val="left" w:pos="2"/>
        </w:tabs>
        <w:spacing w:line="480" w:lineRule="exact"/>
        <w:ind w:left="0" w:firstLine="0" w:firstLineChars="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35" w:name="_Toc137661589"/>
      <w:bookmarkStart w:id="36" w:name="_Toc188638796"/>
      <w:r>
        <w:rPr>
          <w:rStyle w:val="35"/>
          <w:rFonts w:hint="eastAsia" w:cs="Times New Roman" w:asciiTheme="minorEastAsia" w:hAnsiTheme="minorEastAsia" w:eastAsiaTheme="minorEastAsia"/>
          <w:b/>
          <w:bCs w:val="0"/>
          <w:color w:val="000000" w:themeColor="text1"/>
          <w:kern w:val="0"/>
          <w:sz w:val="24"/>
          <w:lang w:val="en-US" w:eastAsia="zh-CN"/>
          <w14:textFill>
            <w14:solidFill>
              <w14:schemeClr w14:val="tx1"/>
            </w14:solidFill>
          </w14:textFill>
        </w:rPr>
        <w:t>八</w:t>
      </w:r>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、瑕疵滞后发现的处理规则</w:t>
      </w:r>
      <w:bookmarkEnd w:id="35"/>
      <w:bookmarkEnd w:id="36"/>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t>无论基于何种原因，各项本应作拒绝处理的情形即便未被及时发现而使该供应商进入综合评审或其他后续程序，包括已经签订合同的情形，一旦供应商被拒绝或该供应商的此前评议结果被取消，其现有的位置将被其他供应商依序替代，相关的一切损失均由该供应商承担。</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p>
    <w:p>
      <w:pPr>
        <w:pStyle w:val="3"/>
        <w:tabs>
          <w:tab w:val="left" w:pos="2"/>
        </w:tabs>
        <w:spacing w:line="480" w:lineRule="exact"/>
        <w:ind w:left="0" w:firstLine="0" w:firstLineChars="0"/>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pPr>
      <w:bookmarkStart w:id="37" w:name="_Toc188638797"/>
      <w:bookmarkStart w:id="38" w:name="_Toc137661591"/>
      <w:r>
        <w:rPr>
          <w:rStyle w:val="35"/>
          <w:rFonts w:hint="eastAsia" w:cs="Times New Roman" w:asciiTheme="minorEastAsia" w:hAnsiTheme="minorEastAsia" w:eastAsiaTheme="minorEastAsia"/>
          <w:b/>
          <w:bCs w:val="0"/>
          <w:color w:val="000000" w:themeColor="text1"/>
          <w:kern w:val="0"/>
          <w:sz w:val="24"/>
          <w:lang w:val="en-US" w:eastAsia="zh-CN"/>
          <w14:textFill>
            <w14:solidFill>
              <w14:schemeClr w14:val="tx1"/>
            </w14:solidFill>
          </w14:textFill>
        </w:rPr>
        <w:t>九</w:t>
      </w:r>
      <w:r>
        <w:rPr>
          <w:rStyle w:val="35"/>
          <w:rFonts w:hint="eastAsia" w:cs="Times New Roman" w:asciiTheme="minorEastAsia" w:hAnsiTheme="minorEastAsia" w:eastAsiaTheme="minorEastAsia"/>
          <w:b/>
          <w:bCs w:val="0"/>
          <w:color w:val="000000" w:themeColor="text1"/>
          <w:kern w:val="0"/>
          <w:sz w:val="24"/>
          <w14:textFill>
            <w14:solidFill>
              <w14:schemeClr w14:val="tx1"/>
            </w14:solidFill>
          </w14:textFill>
        </w:rPr>
        <w:t>、合同、履约及验收</w:t>
      </w:r>
      <w:bookmarkEnd w:id="37"/>
      <w:bookmarkEnd w:id="38"/>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1、成交通知书</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确定成交供应商后，采购人将以书面形式向成交供应商发出成交通知书。成交通知书对采购人和成交供应商具有同等法律效力。除不可抗力等因素外，成交通知书发出以后，采购人改变成交结果或者成交供应商放弃成交，应当承担相应的法律责任。</w:t>
      </w:r>
    </w:p>
    <w:p>
      <w:pPr>
        <w:pStyle w:val="15"/>
        <w:tabs>
          <w:tab w:val="left" w:pos="0"/>
        </w:tabs>
        <w:spacing w:after="0" w:line="480" w:lineRule="exact"/>
        <w:ind w:left="0" w:leftChars="0" w:firstLine="480" w:firstLineChars="200"/>
        <w:rPr>
          <w:rFonts w:hint="eastAsia" w:cs="Times New Roman" w:asciiTheme="minorEastAsia" w:hAnsiTheme="minorEastAsia"/>
          <w:b w:val="0"/>
          <w:bCs/>
          <w:color w:val="000000" w:themeColor="text1"/>
          <w:sz w:val="24"/>
          <w:szCs w:val="24"/>
          <w14:textFill>
            <w14:solidFill>
              <w14:schemeClr w14:val="tx1"/>
            </w14:solidFill>
          </w14:textFill>
        </w:rPr>
      </w:pPr>
      <w:r>
        <w:rPr>
          <w:rFonts w:hint="eastAsia" w:cs="Times New Roman" w:asciiTheme="minorEastAsia" w:hAnsiTheme="minorEastAsia"/>
          <w:b w:val="0"/>
          <w:bCs/>
          <w:color w:val="000000" w:themeColor="text1"/>
          <w:sz w:val="24"/>
          <w:szCs w:val="24"/>
          <w14:textFill>
            <w14:solidFill>
              <w14:schemeClr w14:val="tx1"/>
            </w14:solidFill>
          </w14:textFill>
        </w:rPr>
        <w:t>2、签订合同</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1）成交供应商须在成交通知书中规定的时间内，按照询比文件、响应文件及评审过程中的有关澄清、说明或者补正文件的内容与采购人签订合同。成交供应商与采购人双方不得签订背离合同实质性内容的其他协议或声明。</w:t>
      </w:r>
    </w:p>
    <w:p>
      <w:pPr>
        <w:pStyle w:val="15"/>
        <w:tabs>
          <w:tab w:val="left" w:pos="0"/>
        </w:tabs>
        <w:spacing w:after="0" w:line="480" w:lineRule="exact"/>
        <w:ind w:left="0" w:leftChars="0" w:firstLine="480" w:firstLineChars="200"/>
        <w:rPr>
          <w:rFonts w:hint="eastAsia" w:cs="Times New Roman" w:asciiTheme="minorEastAsia" w:hAnsiTheme="minorEastAsia"/>
          <w:bCs/>
          <w:color w:val="000000" w:themeColor="text1"/>
          <w:sz w:val="24"/>
          <w:szCs w:val="24"/>
          <w14:textFill>
            <w14:solidFill>
              <w14:schemeClr w14:val="tx1"/>
            </w14:solidFill>
          </w14:textFill>
        </w:rPr>
      </w:pPr>
      <w:r>
        <w:rPr>
          <w:rFonts w:hint="eastAsia" w:cs="Times New Roman" w:asciiTheme="minorEastAsia" w:hAnsiTheme="minorEastAsia"/>
          <w:bCs/>
          <w:color w:val="000000" w:themeColor="text1"/>
          <w:sz w:val="24"/>
          <w:szCs w:val="24"/>
          <w14:textFill>
            <w14:solidFill>
              <w14:schemeClr w14:val="tx1"/>
            </w14:solidFill>
          </w14:textFill>
        </w:rPr>
        <w:t>（2）成交供应商拒绝签订采购合同的，采购人可以确定排名次之的候选供应商作为成交供应商并签订采购合同，也可以重新开展采购活动。拒绝签订采购合同的成交供应商不得参加对该项目重新开展的采购活动。</w:t>
      </w:r>
    </w:p>
    <w:p>
      <w:pPr>
        <w:spacing w:line="480" w:lineRule="exact"/>
        <w:ind w:firstLine="480" w:firstLineChars="200"/>
        <w:rPr>
          <w:rFonts w:hint="eastAsia" w:cs="Times New Roman" w:asciiTheme="minorEastAsia" w:hAnsiTheme="minorEastAsia" w:eastAsiaTheme="minorEastAsia"/>
          <w:bCs/>
          <w:color w:val="000000" w:themeColor="text1"/>
          <w14:textFill>
            <w14:solidFill>
              <w14:schemeClr w14:val="tx1"/>
            </w14:solidFill>
          </w14:textFill>
        </w:rPr>
      </w:pPr>
      <w:r>
        <w:rPr>
          <w:rFonts w:hint="eastAsia" w:cs="Times New Roman" w:asciiTheme="minorEastAsia" w:hAnsiTheme="minorEastAsia" w:eastAsiaTheme="minorEastAsia"/>
          <w:bCs/>
          <w:color w:val="000000" w:themeColor="text1"/>
          <w14:textFill>
            <w14:solidFill>
              <w14:schemeClr w14:val="tx1"/>
            </w14:solidFill>
          </w14:textFill>
        </w:rPr>
        <w:br w:type="page"/>
      </w:r>
    </w:p>
    <w:bookmarkEnd w:id="21"/>
    <w:p>
      <w:pPr>
        <w:pStyle w:val="3"/>
        <w:spacing w:before="120" w:beforeLines="50" w:after="120" w:afterLines="50" w:line="360" w:lineRule="auto"/>
        <w:jc w:val="center"/>
        <w:rPr>
          <w:rFonts w:asciiTheme="minorEastAsia" w:hAnsiTheme="minorEastAsia" w:eastAsiaTheme="minorEastAsia"/>
          <w:b/>
          <w:color w:val="000000" w:themeColor="text1"/>
          <w:sz w:val="32"/>
          <w:szCs w:val="32"/>
          <w14:textFill>
            <w14:solidFill>
              <w14:schemeClr w14:val="tx1"/>
            </w14:solidFill>
          </w14:textFill>
        </w:rPr>
      </w:pPr>
      <w:bookmarkStart w:id="39" w:name="_Toc188638798"/>
      <w:bookmarkStart w:id="40" w:name="_Hlk81665918"/>
      <w:r>
        <w:rPr>
          <w:rFonts w:hint="eastAsia" w:asciiTheme="minorEastAsia" w:hAnsiTheme="minorEastAsia" w:eastAsiaTheme="minorEastAsia"/>
          <w:b/>
          <w:color w:val="000000" w:themeColor="text1"/>
          <w:sz w:val="32"/>
          <w:szCs w:val="32"/>
          <w14:textFill>
            <w14:solidFill>
              <w14:schemeClr w14:val="tx1"/>
            </w14:solidFill>
          </w14:textFill>
        </w:rPr>
        <w:t>第三章  评审办法</w:t>
      </w:r>
      <w:bookmarkEnd w:id="39"/>
    </w:p>
    <w:p>
      <w:pPr>
        <w:spacing w:after="0" w:line="480" w:lineRule="exact"/>
        <w:ind w:left="0"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次评审采用经评审的综合评分法。评审小组对满足询比文件实质性要求的响应文件，按照本章要求进行综合评分，并按得分由高到低顺序推荐不超过3名成交候选供应商，但投标报价低于其成本的除外。综合评分相等时，以投标报价低的优先；投标报价也相等的，按技术标得分高低确定先后顺序</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3"/>
        <w:tabs>
          <w:tab w:val="left" w:pos="2"/>
        </w:tabs>
        <w:spacing w:line="480" w:lineRule="exact"/>
        <w:ind w:left="480" w:hanging="482" w:hangingChars="200"/>
        <w:rPr>
          <w:rStyle w:val="105"/>
          <w:rFonts w:asciiTheme="minorEastAsia" w:hAnsiTheme="minorEastAsia" w:eastAsiaTheme="minorEastAsia"/>
          <w:b/>
          <w:color w:val="000000" w:themeColor="text1"/>
          <w:kern w:val="2"/>
          <w:sz w:val="24"/>
          <w14:textFill>
            <w14:solidFill>
              <w14:schemeClr w14:val="tx1"/>
            </w14:solidFill>
          </w14:textFill>
        </w:rPr>
      </w:pPr>
      <w:bookmarkStart w:id="41" w:name="_Toc188638799"/>
      <w:r>
        <w:rPr>
          <w:rStyle w:val="105"/>
          <w:rFonts w:asciiTheme="minorEastAsia" w:hAnsiTheme="minorEastAsia" w:eastAsiaTheme="minorEastAsia"/>
          <w:b/>
          <w:color w:val="000000" w:themeColor="text1"/>
          <w:kern w:val="2"/>
          <w:sz w:val="24"/>
          <w14:textFill>
            <w14:solidFill>
              <w14:schemeClr w14:val="tx1"/>
            </w14:solidFill>
          </w14:textFill>
        </w:rPr>
        <w:t>一、容错机制</w:t>
      </w:r>
      <w:bookmarkEnd w:id="41"/>
    </w:p>
    <w:p>
      <w:pPr>
        <w:pStyle w:val="15"/>
        <w:tabs>
          <w:tab w:val="left" w:pos="0"/>
        </w:tabs>
        <w:spacing w:after="0" w:line="480" w:lineRule="exact"/>
        <w:ind w:left="0" w:leftChars="0"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本项目建立一定的容错机制，供应商因工作疏忽导致下列情形的，在评审规定的时限内，按照评审委员会要求进行澄清后，由评审委员会作出进一步认定：</w:t>
      </w:r>
    </w:p>
    <w:p>
      <w:pPr>
        <w:pStyle w:val="15"/>
        <w:tabs>
          <w:tab w:val="left" w:pos="0"/>
        </w:tabs>
        <w:spacing w:after="0" w:line="480" w:lineRule="exact"/>
        <w:ind w:left="480" w:leftChars="0" w:hanging="480" w:hanging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（1）响应文件中的供应商名称与营业执照、资质证书的公司名称不一致。</w:t>
      </w:r>
    </w:p>
    <w:p>
      <w:pPr>
        <w:pStyle w:val="15"/>
        <w:tabs>
          <w:tab w:val="left" w:pos="0"/>
        </w:tabs>
        <w:spacing w:after="0" w:line="480" w:lineRule="exact"/>
        <w:ind w:left="480" w:leftChars="0" w:hanging="480" w:hanging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（2）报价有算术错误。</w:t>
      </w:r>
    </w:p>
    <w:p>
      <w:pPr>
        <w:pStyle w:val="15"/>
        <w:tabs>
          <w:tab w:val="left" w:pos="0"/>
        </w:tabs>
        <w:spacing w:after="0" w:line="480" w:lineRule="exact"/>
        <w:ind w:left="480" w:leftChars="0" w:hanging="480" w:hanging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（3）响应文件中可辨别部分主要内容的图片材料或文字模糊，或相关证明材料错放位置。</w:t>
      </w:r>
    </w:p>
    <w:p>
      <w:pPr>
        <w:pStyle w:val="15"/>
        <w:tabs>
          <w:tab w:val="left" w:pos="0"/>
        </w:tabs>
        <w:spacing w:after="0" w:line="480" w:lineRule="exact"/>
        <w:ind w:left="480" w:leftChars="0" w:hanging="480" w:hanging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（4）响应文件中含义不明确的内容、明显文字或者计算错误。</w:t>
      </w:r>
    </w:p>
    <w:p>
      <w:pPr>
        <w:pStyle w:val="15"/>
        <w:tabs>
          <w:tab w:val="left" w:pos="0"/>
        </w:tabs>
        <w:spacing w:after="0" w:line="480" w:lineRule="exact"/>
        <w:ind w:left="480" w:leftChars="0" w:hanging="480" w:hanging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（5）对于非关键性技术指标，响应文件前后描述不一致，且询比文件中对前后不一致的情况无具体评审办法的。</w:t>
      </w:r>
    </w:p>
    <w:p>
      <w:pPr>
        <w:pStyle w:val="15"/>
        <w:tabs>
          <w:tab w:val="left" w:pos="0"/>
        </w:tabs>
        <w:spacing w:after="0" w:line="480" w:lineRule="exact"/>
        <w:ind w:left="480" w:leftChars="0" w:hanging="480" w:hanging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（6）除上述情形之外，评审委员会认为需要供应商作出必要澄清且符合法律法规要求的其它事项。</w:t>
      </w:r>
    </w:p>
    <w:p>
      <w:pPr>
        <w:pStyle w:val="3"/>
        <w:tabs>
          <w:tab w:val="left" w:pos="2"/>
        </w:tabs>
        <w:spacing w:line="480" w:lineRule="exact"/>
        <w:ind w:left="480" w:hanging="482" w:hangingChars="200"/>
        <w:rPr>
          <w:rStyle w:val="105"/>
          <w:rFonts w:asciiTheme="minorEastAsia" w:hAnsiTheme="minorEastAsia" w:eastAsiaTheme="minorEastAsia"/>
          <w:b/>
          <w:color w:val="000000" w:themeColor="text1"/>
          <w:kern w:val="2"/>
          <w:sz w:val="24"/>
          <w14:textFill>
            <w14:solidFill>
              <w14:schemeClr w14:val="tx1"/>
            </w14:solidFill>
          </w14:textFill>
        </w:rPr>
      </w:pPr>
      <w:bookmarkStart w:id="42" w:name="_Toc188638800"/>
      <w:r>
        <w:rPr>
          <w:rStyle w:val="105"/>
          <w:rFonts w:hint="eastAsia" w:asciiTheme="minorEastAsia" w:hAnsiTheme="minorEastAsia" w:eastAsiaTheme="minorEastAsia"/>
          <w:b/>
          <w:color w:val="000000" w:themeColor="text1"/>
          <w:kern w:val="2"/>
          <w:sz w:val="24"/>
          <w14:textFill>
            <w14:solidFill>
              <w14:schemeClr w14:val="tx1"/>
            </w14:solidFill>
          </w14:textFill>
        </w:rPr>
        <w:t>二、评审</w:t>
      </w:r>
      <w:bookmarkEnd w:id="42"/>
      <w:r>
        <w:rPr>
          <w:rStyle w:val="105"/>
          <w:rFonts w:hint="eastAsia" w:asciiTheme="minorEastAsia" w:hAnsiTheme="minorEastAsia" w:eastAsiaTheme="minorEastAsia"/>
          <w:b/>
          <w:color w:val="000000" w:themeColor="text1"/>
          <w:kern w:val="2"/>
          <w:sz w:val="24"/>
          <w14:textFill>
            <w14:solidFill>
              <w14:schemeClr w14:val="tx1"/>
            </w14:solidFill>
          </w14:textFill>
        </w:rPr>
        <w:t>办法</w:t>
      </w:r>
    </w:p>
    <w:tbl>
      <w:tblPr>
        <w:tblStyle w:val="3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805"/>
        <w:gridCol w:w="538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jc w:val="center"/>
        </w:trPr>
        <w:tc>
          <w:tcPr>
            <w:tcW w:w="2376" w:type="dxa"/>
            <w:gridSpan w:val="2"/>
            <w:tcBorders>
              <w:top w:val="single" w:color="auto" w:sz="12" w:space="0"/>
              <w:left w:val="single" w:color="auto" w:sz="12" w:space="0"/>
              <w:bottom w:val="single" w:color="auto" w:sz="4" w:space="0"/>
              <w:right w:val="single" w:color="auto" w:sz="4" w:space="0"/>
            </w:tcBorders>
            <w:shd w:val="clear" w:color="auto" w:fill="D8D8D8" w:themeFill="background1" w:themeFillShade="D9"/>
            <w:vAlign w:val="center"/>
          </w:tcPr>
          <w:p>
            <w:pPr>
              <w:spacing w:line="480" w:lineRule="exact"/>
              <w:ind w:left="480" w:hanging="422" w:hangingChars="200"/>
              <w:jc w:val="left"/>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评价内容</w:t>
            </w:r>
          </w:p>
        </w:tc>
        <w:tc>
          <w:tcPr>
            <w:tcW w:w="5387" w:type="dxa"/>
            <w:tcBorders>
              <w:top w:val="single" w:color="auto" w:sz="12" w:space="0"/>
              <w:left w:val="single" w:color="auto" w:sz="4" w:space="0"/>
              <w:bottom w:val="single" w:color="auto" w:sz="4" w:space="0"/>
              <w:right w:val="single" w:color="auto" w:sz="4" w:space="0"/>
            </w:tcBorders>
            <w:shd w:val="clear" w:color="auto" w:fill="D8D8D8" w:themeFill="background1" w:themeFillShade="D9"/>
            <w:vAlign w:val="center"/>
          </w:tcPr>
          <w:p>
            <w:pPr>
              <w:spacing w:line="480" w:lineRule="exact"/>
              <w:ind w:left="480" w:hanging="422" w:hangingChars="200"/>
              <w:jc w:val="left"/>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评审标准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2376" w:type="dxa"/>
            <w:gridSpan w:val="2"/>
            <w:tcBorders>
              <w:top w:val="single" w:color="auto" w:sz="4" w:space="0"/>
              <w:left w:val="single" w:color="auto" w:sz="12" w:space="0"/>
              <w:right w:val="single" w:color="auto" w:sz="4" w:space="0"/>
            </w:tcBorders>
            <w:vAlign w:val="center"/>
          </w:tcPr>
          <w:p>
            <w:pPr>
              <w:tabs>
                <w:tab w:val="left" w:pos="1260"/>
                <w:tab w:val="left" w:pos="1620"/>
              </w:tabs>
              <w:adjustRightInd w:val="0"/>
              <w:spacing w:line="480" w:lineRule="exact"/>
              <w:ind w:left="480" w:hanging="420" w:hangingChars="200"/>
              <w:jc w:val="left"/>
              <w:textAlignment w:val="baseline"/>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评审基准价</w:t>
            </w:r>
          </w:p>
          <w:p>
            <w:pPr>
              <w:tabs>
                <w:tab w:val="left" w:pos="1260"/>
                <w:tab w:val="left" w:pos="1620"/>
              </w:tabs>
              <w:adjustRightInd w:val="0"/>
              <w:spacing w:line="480" w:lineRule="exact"/>
              <w:ind w:left="480" w:hanging="420" w:hangingChars="200"/>
              <w:jc w:val="left"/>
              <w:textAlignment w:val="baseline"/>
              <w:rPr>
                <w:rFonts w:asciiTheme="minorEastAsia" w:hAnsiTheme="minorEastAsia" w:eastAsiaTheme="minorEastAsia"/>
                <w:color w:val="000000" w:themeColor="text1"/>
                <w:sz w:val="21"/>
                <w:szCs w:val="21"/>
                <w14:textFill>
                  <w14:solidFill>
                    <w14:schemeClr w14:val="tx1"/>
                  </w14:solidFill>
                </w14:textFill>
              </w:rPr>
            </w:pPr>
          </w:p>
        </w:tc>
        <w:tc>
          <w:tcPr>
            <w:tcW w:w="5387" w:type="dxa"/>
            <w:tcBorders>
              <w:top w:val="single" w:color="auto" w:sz="4" w:space="0"/>
              <w:left w:val="single" w:color="auto" w:sz="4" w:space="0"/>
              <w:right w:val="single" w:color="auto" w:sz="4" w:space="0"/>
            </w:tcBorders>
            <w:vAlign w:val="center"/>
          </w:tcPr>
          <w:p>
            <w:pPr>
              <w:tabs>
                <w:tab w:val="left" w:pos="1260"/>
                <w:tab w:val="left" w:pos="1620"/>
              </w:tabs>
              <w:adjustRightInd w:val="0"/>
              <w:spacing w:line="480" w:lineRule="exact"/>
              <w:ind w:left="480" w:hanging="420" w:hangingChars="200"/>
              <w:textAlignment w:val="baseline"/>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采用最低报价为评审基准价：</w:t>
            </w:r>
          </w:p>
          <w:p>
            <w:pPr>
              <w:pStyle w:val="13"/>
              <w:spacing w:line="480" w:lineRule="exact"/>
              <w:ind w:left="480" w:hanging="420" w:hanging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评审基准价=所有有效响应应答文件的最低报价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376" w:type="dxa"/>
            <w:gridSpan w:val="2"/>
            <w:tcBorders>
              <w:left w:val="single" w:color="auto" w:sz="12" w:space="0"/>
              <w:right w:val="single" w:color="auto" w:sz="4" w:space="0"/>
            </w:tcBorders>
            <w:vAlign w:val="center"/>
          </w:tcPr>
          <w:p>
            <w:pPr>
              <w:tabs>
                <w:tab w:val="left" w:pos="1260"/>
                <w:tab w:val="left" w:pos="1620"/>
              </w:tabs>
              <w:adjustRightInd w:val="0"/>
              <w:spacing w:line="480" w:lineRule="exact"/>
              <w:ind w:left="480" w:hanging="420" w:hangingChars="200"/>
              <w:jc w:val="left"/>
              <w:textAlignment w:val="baseline"/>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报价得分（65分）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480" w:lineRule="exact"/>
              <w:ind w:left="480" w:hanging="420" w:hanging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报价最低者为投标基准价，投标报价每高于评审基准价1%，扣0.5分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08" w:hRule="atLeast"/>
          <w:jc w:val="center"/>
        </w:trPr>
        <w:tc>
          <w:tcPr>
            <w:tcW w:w="1571" w:type="dxa"/>
            <w:tcBorders>
              <w:top w:val="single" w:color="auto" w:sz="4" w:space="0"/>
              <w:left w:val="single" w:color="auto" w:sz="12" w:space="0"/>
              <w:right w:val="single" w:color="auto" w:sz="4" w:space="0"/>
            </w:tcBorders>
            <w:vAlign w:val="center"/>
          </w:tcPr>
          <w:p>
            <w:pPr>
              <w:tabs>
                <w:tab w:val="left" w:pos="1260"/>
                <w:tab w:val="left" w:pos="1620"/>
              </w:tabs>
              <w:adjustRightInd w:val="0"/>
              <w:spacing w:line="480" w:lineRule="exact"/>
              <w:ind w:left="480" w:hanging="420" w:hangingChars="200"/>
              <w:jc w:val="left"/>
              <w:textAlignment w:val="baseline"/>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业绩证明</w:t>
            </w:r>
          </w:p>
        </w:tc>
        <w:tc>
          <w:tcPr>
            <w:tcW w:w="805" w:type="dxa"/>
            <w:tcBorders>
              <w:top w:val="single" w:color="auto" w:sz="4" w:space="0"/>
              <w:left w:val="single" w:color="auto" w:sz="4" w:space="0"/>
              <w:right w:val="single" w:color="auto" w:sz="4" w:space="0"/>
            </w:tcBorders>
            <w:vAlign w:val="center"/>
          </w:tcPr>
          <w:p>
            <w:pPr>
              <w:tabs>
                <w:tab w:val="left" w:pos="1260"/>
                <w:tab w:val="left" w:pos="1620"/>
              </w:tabs>
              <w:adjustRightInd w:val="0"/>
              <w:spacing w:line="480" w:lineRule="exact"/>
              <w:ind w:left="480" w:hanging="420" w:hangingChars="200"/>
              <w:jc w:val="left"/>
              <w:textAlignment w:val="baseline"/>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16</w:t>
            </w:r>
            <w:r>
              <w:rPr>
                <w:rFonts w:hint="eastAsia" w:asciiTheme="minorEastAsia" w:hAnsiTheme="minorEastAsia" w:eastAsiaTheme="minorEastAsia"/>
                <w:color w:val="000000" w:themeColor="text1"/>
                <w:sz w:val="21"/>
                <w:szCs w:val="21"/>
                <w14:textFill>
                  <w14:solidFill>
                    <w14:schemeClr w14:val="tx1"/>
                  </w14:solidFill>
                </w14:textFill>
              </w:rPr>
              <w:t>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480" w:lineRule="exact"/>
              <w:ind w:left="480" w:hanging="480" w:hangingChars="200"/>
              <w:rPr>
                <w:rFonts w:hint="eastAsia" w:cs="宋体" w:asciiTheme="minorEastAsia" w:hAnsiTheme="minorEastAsia" w:eastAsiaTheme="minorEastAsia"/>
                <w:color w:val="000000" w:themeColor="text1"/>
                <w:sz w:val="21"/>
                <w:szCs w:val="21"/>
                <w:lang w:eastAsia="zh-CN"/>
                <w14:textFill>
                  <w14:solidFill>
                    <w14:schemeClr w14:val="tx1"/>
                  </w14:solidFill>
                </w14:textFill>
              </w:rPr>
            </w:pPr>
            <w:r>
              <w:rPr>
                <w:rFonts w:hint="eastAsia"/>
                <w:lang w:eastAsia="zh-CN"/>
              </w:rPr>
              <w:t>（</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2020年1月1日以来（以合同签订日期为准）投标人独立完成的类似工程业绩</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（管道</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类</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加4</w:t>
            </w:r>
            <w:r>
              <w:rPr>
                <w:rFonts w:hint="eastAsia" w:cs="宋体" w:asciiTheme="minorEastAsia" w:hAnsiTheme="minorEastAsia" w:eastAsiaTheme="minorEastAsia"/>
                <w:color w:val="000000" w:themeColor="text1"/>
                <w:sz w:val="21"/>
                <w:szCs w:val="21"/>
                <w14:textFill>
                  <w14:solidFill>
                    <w14:schemeClr w14:val="tx1"/>
                  </w14:solidFill>
                </w14:textFill>
              </w:rPr>
              <w:t>分。（以同时提供施工合同</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复印件</w:t>
            </w:r>
            <w:r>
              <w:rPr>
                <w:rFonts w:hint="eastAsia" w:cs="宋体" w:asciiTheme="minorEastAsia" w:hAnsiTheme="minorEastAsia" w:eastAsiaTheme="minorEastAsia"/>
                <w:color w:val="000000" w:themeColor="text1"/>
                <w:sz w:val="21"/>
                <w:szCs w:val="21"/>
                <w14:textFill>
                  <w14:solidFill>
                    <w14:schemeClr w14:val="tx1"/>
                  </w14:solidFill>
                </w14:textFill>
              </w:rPr>
              <w:t>为准，相应的复印件做入响应文件。否则，该项不得分）</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p>
            <w:pPr>
              <w:spacing w:line="480" w:lineRule="exact"/>
              <w:ind w:left="480" w:hanging="420" w:hangingChars="200"/>
              <w:rPr>
                <w:rFonts w:hint="eastAsia" w:cs="宋体" w:asciiTheme="minorEastAsia" w:hAnsiTheme="minorEastAsia" w:eastAsiaTheme="minorEastAsia"/>
                <w:strike/>
                <w:color w:val="auto"/>
                <w:sz w:val="21"/>
                <w:szCs w:val="21"/>
                <w:lang w:eastAsia="zh-CN"/>
              </w:rPr>
            </w:pP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hint="eastAsia" w:cs="宋体" w:asciiTheme="minorEastAsia" w:hAnsiTheme="minorEastAsia" w:eastAsiaTheme="minorEastAsia"/>
                <w:strike w:val="0"/>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strike w:val="0"/>
                <w:color w:val="000000" w:themeColor="text1"/>
                <w:sz w:val="21"/>
                <w:szCs w:val="21"/>
                <w14:textFill>
                  <w14:solidFill>
                    <w14:schemeClr w14:val="tx1"/>
                  </w14:solidFill>
                </w14:textFill>
              </w:rPr>
              <w:t>）</w:t>
            </w:r>
            <w:r>
              <w:rPr>
                <w:rFonts w:hint="eastAsia" w:cs="宋体" w:asciiTheme="minorEastAsia" w:hAnsiTheme="minorEastAsia" w:eastAsiaTheme="minorEastAsia"/>
                <w:strike w:val="0"/>
                <w:color w:val="auto"/>
                <w:sz w:val="21"/>
                <w:szCs w:val="21"/>
              </w:rPr>
              <w:t>供应商具有安全生产标准化证书三级及以上者得</w:t>
            </w:r>
            <w:r>
              <w:rPr>
                <w:rFonts w:hint="eastAsia" w:cs="宋体" w:asciiTheme="minorEastAsia" w:hAnsiTheme="minorEastAsia" w:eastAsiaTheme="minorEastAsia"/>
                <w:strike w:val="0"/>
                <w:color w:val="auto"/>
                <w:sz w:val="21"/>
                <w:szCs w:val="21"/>
                <w:lang w:val="en-US" w:eastAsia="zh-CN"/>
              </w:rPr>
              <w:t>3</w:t>
            </w:r>
            <w:r>
              <w:rPr>
                <w:rFonts w:hint="eastAsia" w:cs="宋体" w:asciiTheme="minorEastAsia" w:hAnsiTheme="minorEastAsia" w:eastAsiaTheme="minorEastAsia"/>
                <w:strike w:val="0"/>
                <w:color w:val="auto"/>
                <w:sz w:val="21"/>
                <w:szCs w:val="21"/>
              </w:rPr>
              <w:t>分</w:t>
            </w:r>
            <w:r>
              <w:rPr>
                <w:rFonts w:hint="eastAsia" w:cs="宋体" w:asciiTheme="minorEastAsia" w:hAnsiTheme="minorEastAsia" w:eastAsiaTheme="minorEastAsia"/>
                <w:strike w:val="0"/>
                <w:color w:val="auto"/>
                <w:sz w:val="21"/>
                <w:szCs w:val="21"/>
                <w:lang w:eastAsia="zh-CN"/>
              </w:rPr>
              <w:t>；</w:t>
            </w:r>
          </w:p>
          <w:p>
            <w:pPr>
              <w:spacing w:line="480" w:lineRule="exact"/>
              <w:ind w:left="480" w:hanging="420" w:hangingChars="200"/>
              <w:rPr>
                <w:rFonts w:hint="default"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）项目经理</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具有中级</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及以上</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职称的加2分</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项目经理具有一建注册建造师执业职格加5分；</w:t>
            </w:r>
          </w:p>
          <w:p>
            <w:pPr>
              <w:spacing w:line="480" w:lineRule="exact"/>
              <w:ind w:left="480" w:hanging="420" w:hangingChars="200"/>
              <w:rPr>
                <w:rFonts w:hint="default"/>
                <w:lang w:val="en-US"/>
              </w:rPr>
            </w:pP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）技术负责人</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具有中级</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及以上</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职称的加2分</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08" w:hRule="atLeast"/>
          <w:jc w:val="center"/>
        </w:trPr>
        <w:tc>
          <w:tcPr>
            <w:tcW w:w="1571" w:type="dxa"/>
            <w:tcBorders>
              <w:top w:val="single" w:color="auto" w:sz="4" w:space="0"/>
              <w:left w:val="single" w:color="auto" w:sz="12" w:space="0"/>
              <w:right w:val="single" w:color="auto" w:sz="4" w:space="0"/>
            </w:tcBorders>
            <w:vAlign w:val="center"/>
          </w:tcPr>
          <w:p>
            <w:pPr>
              <w:tabs>
                <w:tab w:val="left" w:pos="1260"/>
                <w:tab w:val="left" w:pos="1620"/>
              </w:tabs>
              <w:adjustRightInd w:val="0"/>
              <w:spacing w:line="480" w:lineRule="exact"/>
              <w:ind w:left="480" w:hanging="420" w:hangingChars="200"/>
              <w:jc w:val="left"/>
              <w:textAlignment w:val="baseline"/>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技术</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部分</w:t>
            </w:r>
          </w:p>
        </w:tc>
        <w:tc>
          <w:tcPr>
            <w:tcW w:w="805" w:type="dxa"/>
            <w:tcBorders>
              <w:top w:val="single" w:color="auto" w:sz="4" w:space="0"/>
              <w:left w:val="single" w:color="auto" w:sz="4" w:space="0"/>
              <w:right w:val="single" w:color="auto" w:sz="4" w:space="0"/>
            </w:tcBorders>
            <w:vAlign w:val="center"/>
          </w:tcPr>
          <w:p>
            <w:pPr>
              <w:tabs>
                <w:tab w:val="left" w:pos="1260"/>
                <w:tab w:val="left" w:pos="1620"/>
              </w:tabs>
              <w:adjustRightInd w:val="0"/>
              <w:spacing w:line="480" w:lineRule="exact"/>
              <w:ind w:left="480" w:hanging="420" w:hangingChars="200"/>
              <w:jc w:val="left"/>
              <w:textAlignment w:val="baseline"/>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olor w:val="000000" w:themeColor="text1"/>
                <w:sz w:val="21"/>
                <w:szCs w:val="21"/>
                <w14:textFill>
                  <w14:solidFill>
                    <w14:schemeClr w14:val="tx1"/>
                  </w14:solidFill>
                </w14:textFill>
              </w:rPr>
              <w:t>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磋商小组对通过初步评审的技术标，按照磋商文件规定的技术标评标标准和方法进行量化评分。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（1）总体概述：施工组织总体设想、方案针对性和施工段划分，供应商提供方案内容详细、全面、可行性强得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分；方案内容较为全面、可行性一般得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分；方案内容不全面、可行性弱得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（2）施工现场平面布置和临时设施布置，供应商提供方案内容详细、全面、可行性强得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宋体" w:asciiTheme="minorEastAsia" w:hAnsiTheme="minorEastAsia" w:eastAsiaTheme="minorEastAsia"/>
                <w:color w:val="000000" w:themeColor="text1"/>
                <w:sz w:val="21"/>
                <w:szCs w:val="21"/>
                <w14:textFill>
                  <w14:solidFill>
                    <w14:schemeClr w14:val="tx1"/>
                  </w14:solidFill>
                </w14:textFill>
              </w:rPr>
              <w:t>分；方案内容较为全面、可行性一般得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分；方案内容不全面、可行性弱得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（3）施工进度计划和各阶段进度的保证措施，供应商提供方案内容详细、全面、可行性强得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分；方案内容较为全面、可行性一般得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分；方案内容不全面、可行性弱得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（4）各分部分项工程的施工方案和质量保证措施，供应商提供方案内容详细、全面、可行性强得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分；方案内容较为全面、可行性一般得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分；方案内容粗陋、不全面、可行性弱得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（5）安全文明施工，供应商方案内容详细、全面、供应商安全文明施工目标满足采购文件要求，安全管理体系健全、单位工程安全防护方案符合国家及地方管理规定，防护措施针对性强的得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分；方案内容较为全面，安全文明施工目标基本满足采购文件要求，安全管理体系健全、单位工程安全防护方案基本符合国家及地方管理规定，防护措施针对性较强的得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分；方案内容不全面，安全文明施工目标、安全管理体系、单位工程安全防护方案有欠缺，防护措施针对性弱得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（6）项目管理班子的人员，人员配备齐备、完整，岗位职责、分工合理的得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分；人员配备较完整，岗位职责、分工较合理的得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分；人员配备一般，岗位职责、分工有欠缺的得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（7）劳动力、机械设备和材料投入计划、架料、模板及安全防护用品，供应商提供方案内容详细、全面、可行性强得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分；方案内容较为全面、可行性一般得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分；方案内容不全面、可行性弱得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（8）关键施工技术、工艺及工程实施的重点、难点和解决方案，供应商提供方案内容详细、全面、可行性强得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分；方案内容较为全面、可行性一般得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分；方案内容不全面、可行性弱</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（9）雨季施工、已有设施和管线的加固、保护等特殊情况下的施工措施，供应商提供方案内容详细、全面、可行性强得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宋体" w:asciiTheme="minorEastAsia" w:hAnsiTheme="minorEastAsia" w:eastAsiaTheme="minorEastAsia"/>
                <w:color w:val="000000" w:themeColor="text1"/>
                <w:sz w:val="21"/>
                <w:szCs w:val="21"/>
                <w14:textFill>
                  <w14:solidFill>
                    <w14:schemeClr w14:val="tx1"/>
                  </w14:solidFill>
                </w14:textFill>
              </w:rPr>
              <w:t>分；方案内容较为全面、可行性一般得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分；方案内容不全面、可行性弱得</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w:t>
            </w:r>
            <w:r>
              <w:rPr>
                <w:rFonts w:hint="eastAsia" w:cs="宋体" w:asciiTheme="minorEastAsia" w:hAnsiTheme="minorEastAsia" w:eastAsiaTheme="minorEastAsia"/>
                <w:color w:val="000000" w:themeColor="text1"/>
                <w:sz w:val="21"/>
                <w:szCs w:val="21"/>
                <w14:textFill>
                  <w14:solidFill>
                    <w14:schemeClr w14:val="tx1"/>
                  </w14:solidFill>
                </w14:textFill>
              </w:rPr>
              <w:t>分；</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说明：1.上述（1）-（9）项内容做入技术部分中。</w:t>
            </w:r>
          </w:p>
          <w:p>
            <w:pPr>
              <w:spacing w:line="480" w:lineRule="exact"/>
              <w:ind w:left="480" w:hanging="420" w:hangingChars="200"/>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2.技术标中缺少针对上述某一项评审要点的内容时，经磋商小组确认后，该项得分为0分。缺少三项及以上评审要点的，磋商小组可以视为其技术标不能满足工程施工需要，否决其投标。</w:t>
            </w:r>
          </w:p>
          <w:p>
            <w:pPr>
              <w:tabs>
                <w:tab w:val="left" w:pos="1260"/>
                <w:tab w:val="left" w:pos="1620"/>
              </w:tabs>
              <w:adjustRightInd w:val="0"/>
              <w:spacing w:line="480" w:lineRule="exact"/>
              <w:ind w:left="480" w:hanging="420" w:hangingChars="200"/>
              <w:textAlignment w:val="baseline"/>
              <w:rPr>
                <w:rFonts w:asciiTheme="minorEastAsia" w:hAnsiTheme="minorEastAsia" w:eastAsiaTheme="minorEastAsia"/>
                <w:color w:val="000000" w:themeColor="text1"/>
                <w:sz w:val="21"/>
                <w:szCs w:val="21"/>
                <w14:textFill>
                  <w14:solidFill>
                    <w14:schemeClr w14:val="tx1"/>
                  </w14:solidFill>
                </w14:textFill>
              </w:rPr>
            </w:pPr>
          </w:p>
        </w:tc>
      </w:tr>
    </w:tbl>
    <w:p>
      <w:pPr>
        <w:pStyle w:val="15"/>
        <w:tabs>
          <w:tab w:val="left" w:pos="0"/>
        </w:tabs>
        <w:spacing w:after="0" w:line="480" w:lineRule="exact"/>
        <w:ind w:left="480" w:leftChars="0" w:hanging="480" w:hangingChars="200"/>
        <w:rPr>
          <w:rFonts w:cs="Times New Roman" w:asciiTheme="minorEastAsia" w:hAnsiTheme="minorEastAsia"/>
          <w:color w:val="000000" w:themeColor="text1"/>
          <w:sz w:val="24"/>
          <w14:textFill>
            <w14:solidFill>
              <w14:schemeClr w14:val="tx1"/>
            </w14:solidFill>
          </w14:textFill>
        </w:rPr>
      </w:pPr>
    </w:p>
    <w:p>
      <w:pPr>
        <w:spacing w:line="480" w:lineRule="exact"/>
        <w:ind w:firstLine="480" w:firstLineChars="200"/>
        <w:rPr>
          <w:rFonts w:hint="eastAsia" w:asciiTheme="minorEastAsia" w:hAnsiTheme="minorEastAsia" w:eastAsiaTheme="minorEastAsia" w:cstheme="minorEastAsia"/>
          <w:color w:val="auto"/>
          <w:sz w:val="44"/>
          <w:szCs w:val="44"/>
        </w:rPr>
      </w:pPr>
      <w:r>
        <w:rPr>
          <w:rFonts w:hint="default" w:ascii="宋体" w:hAnsi="宋体" w:eastAsia="宋体"/>
          <w:color w:val="auto"/>
        </w:rPr>
        <w:t>异常报价处理：报价低于其他供应商平均价20%需提供成本合理性说明，否则视为无效</w:t>
      </w:r>
    </w:p>
    <w:p>
      <w:pPr>
        <w:pStyle w:val="13"/>
        <w:rPr>
          <w:rFonts w:hint="eastAsia" w:asciiTheme="minorEastAsia" w:hAnsiTheme="minorEastAsia" w:eastAsiaTheme="minorEastAsia" w:cstheme="minorEastAsia"/>
          <w:sz w:val="44"/>
          <w:szCs w:val="44"/>
        </w:rPr>
      </w:pPr>
    </w:p>
    <w:p/>
    <w:p>
      <w:pPr>
        <w:pStyle w:val="13"/>
      </w:pPr>
    </w:p>
    <w:p>
      <w:pPr>
        <w:pStyle w:val="13"/>
      </w:pPr>
    </w:p>
    <w:p>
      <w:pPr>
        <w:pStyle w:val="13"/>
        <w:jc w:val="center"/>
        <w:rPr>
          <w:rFonts w:hint="eastAsia" w:asciiTheme="minorEastAsia" w:hAnsiTheme="minorEastAsia" w:eastAsiaTheme="minorEastAsia" w:cstheme="minorEastAsia"/>
        </w:rPr>
      </w:pPr>
    </w:p>
    <w:p>
      <w:pPr>
        <w:pStyle w:val="3"/>
        <w:spacing w:before="120" w:beforeLines="50" w:afterLines="50" w:line="360" w:lineRule="auto"/>
        <w:jc w:val="cente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第四章 合同条款及格式</w:t>
      </w:r>
    </w:p>
    <w:p>
      <w:pPr>
        <w:rPr>
          <w:rFonts w:hint="eastAsia" w:asciiTheme="minorEastAsia" w:hAnsiTheme="minorEastAsia" w:eastAsiaTheme="minorEastAsia" w:cstheme="minorEastAsia"/>
          <w:b/>
          <w:color w:val="000000" w:themeColor="text1"/>
          <w14:textFill>
            <w14:solidFill>
              <w14:schemeClr w14:val="tx1"/>
            </w14:solidFill>
          </w14:textFill>
        </w:rPr>
      </w:pPr>
    </w:p>
    <w:p>
      <w:pPr>
        <w:bidi w:val="0"/>
        <w:jc w:val="center"/>
        <w:rPr>
          <w:rFonts w:hint="eastAsia" w:asciiTheme="minorEastAsia" w:hAnsiTheme="minorEastAsia" w:eastAsiaTheme="minorEastAsia" w:cstheme="minorEastAsia"/>
          <w:b/>
          <w:color w:val="000000"/>
          <w:sz w:val="32"/>
          <w:szCs w:val="32"/>
        </w:rPr>
      </w:pPr>
      <w:bookmarkStart w:id="43" w:name="_Toc188638804"/>
      <w:r>
        <w:rPr>
          <w:rFonts w:hint="eastAsia" w:asciiTheme="minorEastAsia" w:hAnsiTheme="minorEastAsia" w:eastAsiaTheme="minorEastAsia" w:cstheme="minorEastAsia"/>
          <w:b/>
          <w:bCs/>
          <w:sz w:val="32"/>
          <w:szCs w:val="32"/>
          <w:lang w:val="en-US" w:eastAsia="zh-CN"/>
        </w:rPr>
        <w:t>XX</w:t>
      </w:r>
      <w:r>
        <w:rPr>
          <w:rFonts w:hint="eastAsia" w:asciiTheme="minorEastAsia" w:hAnsiTheme="minorEastAsia" w:eastAsiaTheme="minorEastAsia" w:cstheme="minorEastAsia"/>
          <w:b/>
          <w:bCs/>
          <w:sz w:val="32"/>
          <w:szCs w:val="32"/>
        </w:rPr>
        <w:t>建设工程施工</w:t>
      </w:r>
      <w:r>
        <w:rPr>
          <w:rFonts w:hint="eastAsia" w:asciiTheme="minorEastAsia" w:hAnsiTheme="minorEastAsia" w:eastAsiaTheme="minorEastAsia" w:cstheme="minorEastAsia"/>
          <w:b/>
          <w:bCs/>
          <w:sz w:val="32"/>
          <w:szCs w:val="32"/>
          <w:lang w:val="en-US" w:eastAsia="zh-CN"/>
        </w:rPr>
        <w:t>总承包</w:t>
      </w:r>
      <w:r>
        <w:rPr>
          <w:rFonts w:hint="eastAsia" w:asciiTheme="minorEastAsia" w:hAnsiTheme="minorEastAsia" w:eastAsiaTheme="minorEastAsia" w:cstheme="minorEastAsia"/>
          <w:b/>
          <w:bCs/>
          <w:sz w:val="32"/>
          <w:szCs w:val="32"/>
        </w:rPr>
        <w:t>合同</w:t>
      </w:r>
      <w:r>
        <w:rPr>
          <w:rFonts w:hint="eastAsia" w:asciiTheme="minorEastAsia" w:hAnsiTheme="minorEastAsia" w:eastAsiaTheme="minorEastAsia" w:cstheme="minorEastAsia"/>
          <w:b/>
          <w:color w:val="000000"/>
          <w:sz w:val="32"/>
          <w:szCs w:val="32"/>
        </w:rPr>
        <w:br w:type="textWrapping"/>
      </w:r>
    </w:p>
    <w:p>
      <w:pPr>
        <w:pageBreakBefore w:val="0"/>
        <w:widowControl w:val="0"/>
        <w:kinsoku/>
        <w:wordWrap/>
        <w:overflowPunct/>
        <w:topLinePunct w:val="0"/>
        <w:bidi w:val="0"/>
        <w:spacing w:line="560" w:lineRule="exact"/>
        <w:jc w:val="center"/>
        <w:rPr>
          <w:rFonts w:hint="eastAsia" w:asciiTheme="minorEastAsia" w:hAnsiTheme="minorEastAsia" w:eastAsiaTheme="minorEastAsia" w:cstheme="minorEastAsia"/>
          <w:b/>
          <w:color w:val="000000"/>
          <w:sz w:val="32"/>
          <w:szCs w:val="32"/>
        </w:rPr>
      </w:pPr>
    </w:p>
    <w:p>
      <w:pPr>
        <w:pageBreakBefore w:val="0"/>
        <w:widowControl w:val="0"/>
        <w:kinsoku/>
        <w:wordWrap/>
        <w:overflowPunct/>
        <w:topLinePunct w:val="0"/>
        <w:bidi w:val="0"/>
        <w:spacing w:line="560" w:lineRule="exact"/>
        <w:jc w:val="center"/>
        <w:rPr>
          <w:rFonts w:hint="eastAsia" w:asciiTheme="minorEastAsia" w:hAnsiTheme="minorEastAsia" w:eastAsiaTheme="minorEastAsia" w:cstheme="minorEastAsia"/>
          <w:b/>
          <w:color w:val="000000"/>
          <w:sz w:val="32"/>
          <w:szCs w:val="32"/>
        </w:rPr>
      </w:pPr>
    </w:p>
    <w:p>
      <w:pPr>
        <w:pageBreakBefore w:val="0"/>
        <w:widowControl w:val="0"/>
        <w:kinsoku/>
        <w:wordWrap/>
        <w:overflowPunct/>
        <w:topLinePunct w:val="0"/>
        <w:bidi w:val="0"/>
        <w:spacing w:line="560" w:lineRule="exact"/>
        <w:jc w:val="center"/>
        <w:rPr>
          <w:rFonts w:hint="eastAsia" w:asciiTheme="minorEastAsia" w:hAnsiTheme="minorEastAsia" w:eastAsiaTheme="minorEastAsia" w:cstheme="minorEastAsia"/>
          <w:b/>
          <w:color w:val="000000"/>
          <w:sz w:val="32"/>
          <w:szCs w:val="32"/>
        </w:rPr>
      </w:pPr>
    </w:p>
    <w:p>
      <w:pPr>
        <w:pageBreakBefore w:val="0"/>
        <w:widowControl w:val="0"/>
        <w:kinsoku/>
        <w:wordWrap/>
        <w:overflowPunct/>
        <w:topLinePunct w:val="0"/>
        <w:bidi w:val="0"/>
        <w:spacing w:line="560" w:lineRule="exact"/>
        <w:jc w:val="center"/>
        <w:rPr>
          <w:rFonts w:hint="eastAsia" w:asciiTheme="minorEastAsia" w:hAnsiTheme="minorEastAsia" w:eastAsiaTheme="minorEastAsia" w:cstheme="minorEastAsia"/>
          <w:b/>
          <w:color w:val="000000"/>
          <w:sz w:val="32"/>
          <w:szCs w:val="32"/>
        </w:rPr>
      </w:pPr>
    </w:p>
    <w:p>
      <w:pPr>
        <w:pageBreakBefore w:val="0"/>
        <w:widowControl w:val="0"/>
        <w:kinsoku/>
        <w:wordWrap/>
        <w:overflowPunct/>
        <w:topLinePunct w:val="0"/>
        <w:bidi w:val="0"/>
        <w:spacing w:line="560" w:lineRule="exact"/>
        <w:rPr>
          <w:rFonts w:hint="eastAsia" w:asciiTheme="minorEastAsia" w:hAnsiTheme="minorEastAsia" w:eastAsiaTheme="minorEastAsia" w:cstheme="minorEastAsia"/>
          <w:b/>
          <w:color w:val="000000"/>
          <w:sz w:val="32"/>
          <w:szCs w:val="32"/>
        </w:rPr>
      </w:pPr>
    </w:p>
    <w:p>
      <w:pPr>
        <w:pageBreakBefore w:val="0"/>
        <w:widowControl w:val="0"/>
        <w:kinsoku/>
        <w:wordWrap/>
        <w:overflowPunct/>
        <w:topLinePunct w:val="0"/>
        <w:bidi w:val="0"/>
        <w:spacing w:line="560" w:lineRule="exact"/>
        <w:rPr>
          <w:rFonts w:hint="eastAsia" w:asciiTheme="minorEastAsia" w:hAnsiTheme="minorEastAsia" w:eastAsiaTheme="minorEastAsia" w:cstheme="minorEastAsia"/>
          <w:b/>
          <w:color w:val="000000"/>
          <w:sz w:val="32"/>
          <w:szCs w:val="32"/>
        </w:rPr>
      </w:pPr>
    </w:p>
    <w:p>
      <w:pPr>
        <w:keepNext w:val="0"/>
        <w:keepLines w:val="0"/>
        <w:pageBreakBefore w:val="0"/>
        <w:widowControl/>
        <w:kinsoku/>
        <w:wordWrap w:val="0"/>
        <w:overflowPunct/>
        <w:topLinePunct/>
        <w:autoSpaceDE/>
        <w:autoSpaceDN/>
        <w:bidi w:val="0"/>
        <w:adjustRightInd w:val="0"/>
        <w:snapToGrid w:val="0"/>
        <w:ind w:firstLine="1920" w:firstLineChars="6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合同编号：</w:t>
      </w:r>
      <w:r>
        <w:rPr>
          <w:rFonts w:hint="eastAsia" w:asciiTheme="minorEastAsia" w:hAnsiTheme="minorEastAsia" w:eastAsiaTheme="minorEastAsia" w:cstheme="minorEastAsia"/>
          <w:b w:val="0"/>
          <w:bCs w:val="0"/>
          <w:sz w:val="32"/>
          <w:szCs w:val="32"/>
          <w:u w:val="single"/>
          <w:lang w:val="en-US" w:eastAsia="zh-CN"/>
        </w:rPr>
        <w:t xml:space="preserve">                   </w:t>
      </w:r>
    </w:p>
    <w:p>
      <w:pPr>
        <w:keepNext w:val="0"/>
        <w:keepLines w:val="0"/>
        <w:pageBreakBefore w:val="0"/>
        <w:widowControl/>
        <w:kinsoku/>
        <w:wordWrap w:val="0"/>
        <w:overflowPunct/>
        <w:topLinePunct/>
        <w:autoSpaceDE/>
        <w:autoSpaceDN/>
        <w:bidi w:val="0"/>
        <w:adjustRightInd w:val="0"/>
        <w:snapToGrid w:val="0"/>
        <w:ind w:firstLine="1920" w:firstLineChars="6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甲方：</w:t>
      </w:r>
      <w:r>
        <w:rPr>
          <w:rFonts w:hint="eastAsia" w:asciiTheme="minorEastAsia" w:hAnsiTheme="minorEastAsia" w:eastAsiaTheme="minorEastAsia" w:cstheme="minorEastAsia"/>
          <w:b w:val="0"/>
          <w:bCs w:val="0"/>
          <w:sz w:val="32"/>
          <w:szCs w:val="32"/>
          <w:u w:val="single"/>
          <w:lang w:val="en-US" w:eastAsia="zh-CN"/>
        </w:rPr>
        <w:t xml:space="preserve">                       </w:t>
      </w:r>
    </w:p>
    <w:p>
      <w:pPr>
        <w:keepNext w:val="0"/>
        <w:keepLines w:val="0"/>
        <w:pageBreakBefore w:val="0"/>
        <w:widowControl/>
        <w:kinsoku/>
        <w:wordWrap w:val="0"/>
        <w:overflowPunct/>
        <w:topLinePunct/>
        <w:autoSpaceDE/>
        <w:autoSpaceDN/>
        <w:bidi w:val="0"/>
        <w:adjustRightInd w:val="0"/>
        <w:snapToGrid w:val="0"/>
        <w:ind w:firstLine="1920" w:firstLineChars="6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乙方：</w:t>
      </w:r>
      <w:r>
        <w:rPr>
          <w:rFonts w:hint="eastAsia" w:asciiTheme="minorEastAsia" w:hAnsiTheme="minorEastAsia" w:eastAsiaTheme="minorEastAsia" w:cstheme="minorEastAsia"/>
          <w:b w:val="0"/>
          <w:bCs w:val="0"/>
          <w:sz w:val="32"/>
          <w:szCs w:val="32"/>
          <w:u w:val="single"/>
          <w:lang w:val="en-US" w:eastAsia="zh-CN"/>
        </w:rPr>
        <w:t xml:space="preserve">                       </w:t>
      </w:r>
    </w:p>
    <w:p>
      <w:pPr>
        <w:keepNext w:val="0"/>
        <w:keepLines w:val="0"/>
        <w:pageBreakBefore w:val="0"/>
        <w:widowControl/>
        <w:kinsoku/>
        <w:wordWrap w:val="0"/>
        <w:overflowPunct/>
        <w:topLinePunct/>
        <w:autoSpaceDE/>
        <w:autoSpaceDN/>
        <w:bidi w:val="0"/>
        <w:adjustRightInd w:val="0"/>
        <w:snapToGrid w:val="0"/>
        <w:ind w:firstLine="1920" w:firstLineChars="6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val="0"/>
          <w:bCs w:val="0"/>
          <w:sz w:val="32"/>
          <w:szCs w:val="32"/>
          <w:lang w:val="en-US" w:eastAsia="zh-CN"/>
        </w:rPr>
        <w:t>签约时间：</w:t>
      </w:r>
      <w:r>
        <w:rPr>
          <w:rFonts w:hint="eastAsia" w:asciiTheme="minorEastAsia" w:hAnsiTheme="minorEastAsia" w:eastAsiaTheme="minorEastAsia" w:cstheme="minorEastAsia"/>
          <w:b w:val="0"/>
          <w:bCs w:val="0"/>
          <w:sz w:val="32"/>
          <w:szCs w:val="32"/>
          <w:u w:val="single"/>
          <w:lang w:val="en-US" w:eastAsia="zh-CN"/>
        </w:rPr>
        <w:t xml:space="preserve">                   </w:t>
      </w:r>
    </w:p>
    <w:p>
      <w:pPr>
        <w:pageBreakBefore w:val="0"/>
        <w:widowControl w:val="0"/>
        <w:kinsoku/>
        <w:wordWrap/>
        <w:overflowPunct/>
        <w:topLinePunct w:val="0"/>
        <w:bidi w:val="0"/>
        <w:spacing w:line="560" w:lineRule="exact"/>
        <w:rPr>
          <w:rFonts w:hint="eastAsia" w:asciiTheme="minorEastAsia" w:hAnsiTheme="minorEastAsia" w:eastAsiaTheme="minorEastAsia" w:cstheme="minorEastAsia"/>
          <w:b/>
          <w:color w:val="000000"/>
          <w:sz w:val="32"/>
          <w:szCs w:val="32"/>
        </w:rPr>
      </w:pPr>
    </w:p>
    <w:p>
      <w:pPr>
        <w:rPr>
          <w:lang w:val="zh-CN"/>
        </w:rPr>
      </w:pPr>
      <w:bookmarkStart w:id="44" w:name="_Toc13625"/>
      <w:bookmarkStart w:id="45" w:name="_Toc296890982"/>
      <w:bookmarkStart w:id="46" w:name="_Toc296503025"/>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jc w:val="center"/>
        <w:rPr>
          <w:rFonts w:hint="eastAsia" w:ascii="黑体" w:hAnsi="黑体" w:eastAsia="黑体" w:cs="黑体"/>
          <w:sz w:val="32"/>
          <w:szCs w:val="32"/>
        </w:rPr>
      </w:pPr>
      <w:r>
        <w:rPr>
          <w:rFonts w:hint="eastAsia" w:ascii="黑体" w:hAnsi="黑体" w:eastAsia="黑体" w:cs="黑体"/>
          <w:sz w:val="32"/>
          <w:szCs w:val="32"/>
          <w:lang w:val="zh-CN"/>
        </w:rPr>
        <w:t>目  录</w:t>
      </w:r>
      <w:bookmarkEnd w:id="44"/>
    </w:p>
    <w:p>
      <w:pPr>
        <w:pStyle w:val="2"/>
        <w:keepNext w:val="0"/>
        <w:keepLines w:val="0"/>
        <w:pageBreakBefore w:val="0"/>
        <w:widowControl w:val="0"/>
        <w:tabs>
          <w:tab w:val="right" w:leader="dot" w:pos="8820"/>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i w:val="0"/>
          <w:iCs w:val="0"/>
          <w:sz w:val="21"/>
          <w:szCs w:val="21"/>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"1-5" \h \z \u </w:instrText>
      </w:r>
      <w:r>
        <w:rPr>
          <w:rFonts w:hint="eastAsia" w:ascii="仿宋_GB2312" w:hAnsi="仿宋_GB2312" w:eastAsia="仿宋_GB2312" w:cs="仿宋_GB2312"/>
          <w:sz w:val="32"/>
          <w:szCs w:val="32"/>
        </w:rPr>
        <w:fldChar w:fldCharType="separate"/>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_Toc9014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第一部分 合同协议书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_Toc9014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_Toc15703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一、工程概况</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_Toc15703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_Toc10904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二、合同工期</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_Toc10904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_Toc14360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三、质量标准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_Toc14360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_Toc14142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四、签约合同价与合同价格形式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_Toc14142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_Toc3210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五、项目经理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_Toc3210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_Toc30561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六、合同文件构成</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_Toc30561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_Toc3545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七、承诺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_Toc3545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_Toc16364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八、词语含义</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_Toc16364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_Toc6638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九、签订时间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_Toc6638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_Toc2344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十、签订地点</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_Toc2344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_Toc6634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十一、补充协议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_Toc6634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_Toc2499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十二、合同生效</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_Toc2499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_Toc23437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十三、合同份数</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_Toc23437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2"/>
        <w:keepNext w:val="0"/>
        <w:keepLines w:val="0"/>
        <w:pageBreakBefore w:val="0"/>
        <w:widowControl w:val="0"/>
        <w:tabs>
          <w:tab w:val="right" w:leader="dot" w:pos="8820"/>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_Toc11037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第二部分 通用合同条款</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_Toc11037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_Toc13007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 一般约定</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_Toc13007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_Toc10503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1.1词语定义与解释</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_Toc10503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_Toc3370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lang w:val="en-US" w:eastAsia="zh-CN"/>
        </w:rPr>
        <w:t>1.2语言文字</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_Toc3370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1.3法律</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_Toc11379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 标准和规范</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_Toc11379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_Toc10949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 合同文件的优先顺序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_Toc10949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_Toc11567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1.6图纸和承包人文件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_Toc11567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_Toc23746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1.7联络</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_Toc23746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_Toc23744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1.8严禁贿赂</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_Toc23744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_Toc22291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1.9化石、文物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_Toc22291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_Toc17895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1.10交通运输</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_Toc17895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_Toc14834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1.11知识产权</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_Toc14834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_Toc20077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1.12保密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_Toc20077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_Toc26777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1.13工程量清单错误的修正</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_Toc26777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_Toc22253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 发包人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_Toc22253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_Toc19031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2.1 许可或批准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_Toc19031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_Toc5655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2.2 发包人代表</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_Toc5655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_Toc23888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2.3 发包人人员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_Toc23888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_Toc29413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2.4 施工现场、施工条件和基础资料的提供</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_Toc29413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_Toc28762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2.5 资金来源证明及支付担保</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_Toc28762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_Toc32148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2.6 支付合同价款</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_Toc32148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_Toc17546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2.7 组织竣工验收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_Toc17546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_Toc25961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2.8 现场统一管理协议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_Toc25961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_Toc7285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 承包人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_Toc7285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_Toc31108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3.1 承包人的一般义务</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_Toc31108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_Toc11827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3.2 项目经理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_Toc11827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_Toc30022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3.3 承包人人员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_Toc30022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_Toc22169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3.4 承包人现场查勘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_Toc22169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_Toc7464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3.5 分包</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_Toc7464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_Toc8022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3.6 工程照管与成品、半成品保护</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_Toc8022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_Toc5865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3.7 履约担保</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_Toc5865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_Toc30413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3.8 联合体</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_Toc30413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_Toc120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 监理人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_Toc120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_Toc12258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4.1监理人的一般规定</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_Toc12258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_Toc8980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4.2监理人员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_Toc8980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_Toc20761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4.3监理人的指示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_Toc20761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_Toc19567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4.4 商定或确定</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_Toc19567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_Toc13743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 工程质量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_Toc13743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_Toc26070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5.1质量要求</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_Toc26070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_Toc22690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5.2质量保证措施</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_Toc22690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_Toc25002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5.3 隐蔽工程检查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_Toc25002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_Toc8380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5.4不合格工程的处理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_Toc8380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_Toc6585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5.5 质量争议检测</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_Toc6585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_Toc32278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 安全文明施工与环境保护</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_Toc32278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_Toc19761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6.1安全文明施工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_Toc19761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_Toc27835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6.2 职业健康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_Toc27835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_Toc9021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6.3 环境保护</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_Toc9021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_Toc19786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 工期和进度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_Toc19786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_Toc32661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7.1施工组织设计</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_Toc32661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_Toc19407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7.2 施工进度计划</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_Toc19407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_Toc8325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7.3 开工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_Toc8325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_Toc3618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7.4测量放线</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_Toc3618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_Toc31291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7.5 工期延误</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_Toc31291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_Toc28308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7.6 不利物质条件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_Toc28308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_Toc8529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7.7 异常恶劣的气候条件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_Toc8529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_Toc27826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7.8 暂停施工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_Toc27826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_Toc26359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7.9提前竣工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_Toc26359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_Toc3424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 材料与设备</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_Toc3424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_Toc6956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8.1发包人供应材料与工程设备</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_Toc6956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_Toc27810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8.2承包人采购材料与工程设备</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_Toc27810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_Toc19932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8.3材料与工程设备的接收与拒收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_Toc19932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_Toc5832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8.4材料与工程设备的保管与使用</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_Toc5832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_Toc28135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8.5禁止使用不合格的材料和工程设备</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_Toc28135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_Toc11223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8.6 样品</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_Toc11223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_Toc23891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8.7材料与工程设备的替代</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_Toc23891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_Toc10086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8.8施工设备和临时设施</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_Toc10086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_Toc3141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8.9材料与设备专用要求</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_Toc3141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_Toc14415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 试验与检验</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_Toc14415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_Toc30827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9.1试验设备与试验人员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_Toc30827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_Toc11994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9.2取样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_Toc11994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_Toc7416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9.3材料、工程设备和工程的试验和检验</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_Toc7416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_Toc32077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9.4现场工艺试验</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_Toc32077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_Toc32624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 变更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_Toc32624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_Toc26127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10.1变更的范围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_Toc26127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_Toc10188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10.2变更权</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_Toc10188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_Toc2999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10.3变更程序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_Toc2999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_Toc1727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10.4变更估价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_Toc1727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_Toc31424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10.5承包人的合理化建议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_Toc31424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_Toc8995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10.6变更引起的工期调整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_Toc8995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_Toc16828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10.7暂估价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_Toc16828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_Toc28632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10.8暂列金额</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_Toc28632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_Toc5178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10.9计日工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_Toc5178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_Toc30113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 价格调整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_Toc30113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_Toc5561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11.1市场价格波动引起的调整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_Toc5561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_Toc6325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11.2法律变化引起的调整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_Toc6325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_Toc5475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 合同价格、计量与支付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_Toc5475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_Toc16424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12.1 合同价格形式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_Toc16424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_Toc2142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12.2预付款</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_Toc2142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_Toc5467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12.3计量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_Toc5467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_Toc16379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12.4工程进度款支付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_Toc16379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_Toc1031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12.5支付账户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_Toc1031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_Toc525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 验收和工程试车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_Toc525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_Toc10158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13.1分部分项工程验收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_Toc10158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_Toc7458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13.2竣工验收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_Toc7458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_Toc31086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13.3工程试车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_Toc31086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_Toc8066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13.4提前交付单位工程的验收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_Toc8066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_Toc27017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13.5 施工期运行</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_Toc27017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_Toc20250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13.6 竣工退场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_Toc20250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_Toc10790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 竣工结算</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_Toc10790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_Toc12729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14.1 竣工结算申请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_Toc12729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_Toc23822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14.2 竣工结算审核</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_Toc23822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_Toc12367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14.3 甩项竣工协议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_Toc12367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_Toc9342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14.4 最终结清</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_Toc9342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_Toc29964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 缺陷责任与保修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_Toc29964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_Toc22331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15.1 工程保修的原则</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_Toc22331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_Toc25492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15.2 缺陷责任期</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_Toc25492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_Toc23177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15.3 质量保证金</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_Toc23177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_Toc17309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15.4 保修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_Toc17309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_Toc30910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 违约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_Toc30910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_Toc14768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16.1 发包人违约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_Toc14768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_Toc390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16.2 承包人违约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_Toc390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_Toc18163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16.3 第三人造成的违约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_Toc18163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_Toc10507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 不可抗力</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_Toc10507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_Toc4121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17.1 不可抗力的确认</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_Toc4121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_Toc1440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17.2 不可抗力的通知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_Toc1440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_Toc27880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17.3 不可抗力后果的承担</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_Toc27880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_Toc18347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17.4 因不可抗力解除合同</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_Toc18347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_Toc3327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 保险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_Toc3327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_Toc26072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18.1 工程保险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_Toc26072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_Toc9154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18.2 工伤保险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_Toc9154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_Toc2007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18.3其他保险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_Toc2007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_Toc23692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18.4持续保险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_Toc23692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_Toc3135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18.5 保险凭证</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_Toc3135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_Toc8608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18.6 未按约定投保的补救</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_Toc8608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_Toc10821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18.7 通知义务</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_Toc10821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_Toc21355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19. 索赔</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_Toc21355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_Toc30312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19.1承包人的索赔</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_Toc30312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_Toc15128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19.2 对承包人索赔的处理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_Toc15128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_Toc2370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19.3发包人的索赔</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_Toc2370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_Toc6791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19.4 对发包人索赔的处理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_Toc6791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_Toc16925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19.5 提出索赔的期限</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_Toc16925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_Toc3358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 争议解决</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_Toc3358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_Toc11009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20.1和解</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_Toc11009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_Toc18453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20.2调解</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_Toc18453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_Toc29265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20.3争议评审</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_Toc29265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_Toc32295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20.4仲裁或诉讼</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_Toc32295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_Toc20019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20.5争议解决条款效力</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_Toc20019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2"/>
        <w:keepNext w:val="0"/>
        <w:keepLines w:val="0"/>
        <w:pageBreakBefore w:val="0"/>
        <w:widowControl w:val="0"/>
        <w:tabs>
          <w:tab w:val="right" w:leader="dot" w:pos="8820"/>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_Toc2516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第三部分 专用合同条款</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_Toc2516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 一般约定</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_Toc23183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 词语定义</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_Toc23183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_Toc9431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1.3法律</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_Toc9431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_Toc17555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 标准和规范</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_Toc17555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_Toc3408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 合同文件的优先顺序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_Toc3408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_Toc4152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 图纸和承包人文件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_Toc4152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_Toc12628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 联络</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_Toc12628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_Toc19701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1.10 交通运输</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_Toc19701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_Toc18410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1.11 知识产权</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_Toc18410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_Toc19829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 发包人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_Toc19829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_Toc31173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2.2 发包人代表</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_Toc31173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_Toc7537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2.4 施工现场、施工条件和基础资料的提供</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_Toc7537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_Toc23111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2.5 资金来源证明及支付担保</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_Toc23111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_Toc1830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 承包人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_Toc1830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_Toc1428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3.1 承包人的一般义务</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_Toc1428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_Toc11676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3.2 项目经理</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_Toc11676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_Toc29756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3.3 承包人人员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_Toc29756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_Toc10788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3.5 分包</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_Toc10788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_Toc22858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3.6 工程照管与成品、半成品保护</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_Toc22858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_Toc20139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3.7 履约担保</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_Toc20139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_Toc17852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4. 监理人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_Toc17852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_Toc32147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 工程质量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_Toc32147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_Toc28229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5.1 质量要求</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_Toc28229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_Toc5868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5.3 隐蔽工程检查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_Toc5868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_Toc30772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 安全文明施工与环境保护</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_Toc30772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_Toc8279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6.1安全文明施工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_Toc8279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_Toc27366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 工期和进度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_Toc27366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_Toc3455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7.1 施工组织设计</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_Toc3455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_Toc32086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7.2 施工进度计划</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_Toc32086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_Toc19356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7.3 开工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_Toc19356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_Toc22870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7.4 测量放线</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_Toc22870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_Toc4274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7.5 工期延误</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_Toc4274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100</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_Toc10866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7.6 不利物质条件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_Toc10866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_Toc14696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7.7异常恶劣的气候条件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_Toc14696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_Toc25811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7.8暂停施工</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_Toc25811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_Toc21211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7.9 提前竣工的奖励</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_Toc21211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_Toc3156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 材料与设备</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_Toc3156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_Toc6119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8.4材料与工程设备的保管与使用</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_Toc6119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_Toc17704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8.6 样品</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_Toc17704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_Toc9642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8.8 施工设备和临时设施</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_Toc9642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_Toc704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 试验与检验</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_Toc704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_Toc2399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9.1试验设备与试验人员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_Toc2399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_Toc3793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9.4 现场工艺试验</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_Toc3793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_Toc12722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 变更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_Toc12722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_Toc24677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10.1变更的范围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_Toc24677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_Toc20064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10.3变更程序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_Toc20064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_Toc15460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10.4 变更估价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_Toc15460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105</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_Toc6122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10.5承包人的合理化建议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_Toc6122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_Toc27730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10.7 暂估价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_Toc27730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_Toc29472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10.8 暂列金额</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_Toc29472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_Toc26587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 价格调整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_Toc26587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_Toc28328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11.1 市场价格波动引起的调整</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_Toc28328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_Toc27121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 合同价格、计量与支付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_Toc27121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_Toc19703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12.1 合同价格形式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_Toc19703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_Toc14005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w:t>
      </w:r>
      <w:r>
        <w:rPr>
          <w:rFonts w:hint="eastAsia" w:asciiTheme="minorEastAsia" w:hAnsiTheme="minorEastAsia" w:eastAsiaTheme="minorEastAsia" w:cstheme="minorEastAsia"/>
          <w:b w:val="0"/>
          <w:bCs/>
          <w:i w:val="0"/>
          <w:iCs w:val="0"/>
          <w:sz w:val="21"/>
          <w:szCs w:val="21"/>
          <w:lang w:val="en-US" w:eastAsia="zh-CN"/>
        </w:rPr>
        <w:t>2</w:t>
      </w:r>
      <w:r>
        <w:rPr>
          <w:rFonts w:hint="eastAsia" w:asciiTheme="minorEastAsia" w:hAnsiTheme="minorEastAsia" w:eastAsiaTheme="minorEastAsia" w:cstheme="minorEastAsia"/>
          <w:b w:val="0"/>
          <w:bCs/>
          <w:i w:val="0"/>
          <w:iCs w:val="0"/>
          <w:sz w:val="21"/>
          <w:szCs w:val="21"/>
        </w:rPr>
        <w:t xml:space="preserve"> 计量</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_Toc14005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_Toc27770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12.</w:t>
      </w:r>
      <w:r>
        <w:rPr>
          <w:rFonts w:hint="eastAsia" w:asciiTheme="minorEastAsia" w:hAnsiTheme="minorEastAsia" w:eastAsiaTheme="minorEastAsia" w:cstheme="minorEastAsia"/>
          <w:b w:val="0"/>
          <w:bCs/>
          <w:i w:val="0"/>
          <w:iCs w:val="0"/>
          <w:sz w:val="21"/>
          <w:szCs w:val="21"/>
          <w:lang w:val="en-US" w:eastAsia="zh-CN"/>
        </w:rPr>
        <w:t>3</w:t>
      </w:r>
      <w:r>
        <w:rPr>
          <w:rFonts w:hint="eastAsia" w:asciiTheme="minorEastAsia" w:hAnsiTheme="minorEastAsia" w:eastAsiaTheme="minorEastAsia" w:cstheme="minorEastAsia"/>
          <w:b w:val="0"/>
          <w:bCs/>
          <w:i w:val="0"/>
          <w:iCs w:val="0"/>
          <w:sz w:val="21"/>
          <w:szCs w:val="21"/>
        </w:rPr>
        <w:t xml:space="preserve"> 工程进度款支付</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_Toc27770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109</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_Toc8593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 验收和工程试车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_Toc8593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_Toc584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13.1 分部分项工程验收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_Toc584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_Toc5794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13.2 竣工验收</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_Toc5794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111</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_Toc21188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13.3 工程试车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_Toc21188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_Toc7354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13.6 竣工退场</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_Toc7354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_Toc17910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 竣工结算</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_Toc17910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_Toc28244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14.1 竣工结算申请</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_Toc28244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_Toc7350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14.2 竣工结算审核</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_Toc7350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_Toc8204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14.4 最终结清</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_Toc8204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112</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_Toc7113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 缺陷责任期与保修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_Toc7113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_Toc17345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15.2缺陷责任期</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_Toc17345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_Toc13567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15.3 质量保证金</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_Toc13567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_Toc13771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15.4保修</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_Toc13771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113</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_Toc17923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 违约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_Toc17923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_Toc27892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16.1 发包人违约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_Toc27892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_Toc774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16.2 承包人违约</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_Toc774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114</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_Toc11021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 不可抗力</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_Toc11021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_Toc4975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17.1 不可抗力的确认</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_Toc4975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116</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_Toc6999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17.4 因不可抗力解除合同</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_Toc6999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_Toc22820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 保险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_Toc22820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_Toc5406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18.1 工程保险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_Toc5406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_Toc24380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18.3 其他保险</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_Toc24380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_Toc11313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18.7 通知义务</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_Toc11313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_Toc4882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 争议解决</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_Toc4882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_Toc17954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20.3 争议评审</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_Toc17954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117</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18"/>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仿宋_GB2312" w:hAnsi="仿宋_GB2312" w:eastAsia="仿宋_GB2312" w:cs="仿宋_GB2312"/>
          <w:b w:val="0"/>
          <w:bCs/>
          <w:sz w:val="32"/>
          <w:szCs w:val="32"/>
        </w:rPr>
      </w:pP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HYPERLINK \l _Toc17163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20.4仲裁或诉讼</w:t>
      </w:r>
      <w:r>
        <w:rPr>
          <w:rFonts w:hint="eastAsia" w:asciiTheme="minorEastAsia" w:hAnsiTheme="minorEastAsia" w:eastAsiaTheme="minorEastAsia" w:cstheme="minorEastAsia"/>
          <w:b w:val="0"/>
          <w:bCs/>
          <w:i w:val="0"/>
          <w:iCs w:val="0"/>
          <w:sz w:val="21"/>
          <w:szCs w:val="21"/>
        </w:rPr>
        <w:tab/>
      </w:r>
      <w:r>
        <w:rPr>
          <w:rFonts w:hint="eastAsia" w:asciiTheme="minorEastAsia" w:hAnsiTheme="minorEastAsia" w:eastAsiaTheme="minorEastAsia" w:cstheme="minorEastAsia"/>
          <w:b w:val="0"/>
          <w:bCs/>
          <w:i w:val="0"/>
          <w:iCs w:val="0"/>
          <w:sz w:val="21"/>
          <w:szCs w:val="21"/>
        </w:rPr>
        <w:fldChar w:fldCharType="begin"/>
      </w:r>
      <w:r>
        <w:rPr>
          <w:rFonts w:hint="eastAsia" w:asciiTheme="minorEastAsia" w:hAnsiTheme="minorEastAsia" w:eastAsiaTheme="minorEastAsia" w:cstheme="minorEastAsia"/>
          <w:b w:val="0"/>
          <w:bCs/>
          <w:i w:val="0"/>
          <w:iCs w:val="0"/>
          <w:sz w:val="21"/>
          <w:szCs w:val="21"/>
        </w:rPr>
        <w:instrText xml:space="preserve"> PAGEREF _Toc17163 \h </w:instrText>
      </w:r>
      <w:r>
        <w:rPr>
          <w:rFonts w:hint="eastAsia" w:asciiTheme="minorEastAsia" w:hAnsiTheme="minorEastAsia" w:eastAsiaTheme="minorEastAsia" w:cstheme="minorEastAsia"/>
          <w:b w:val="0"/>
          <w:bCs/>
          <w:i w:val="0"/>
          <w:iCs w:val="0"/>
          <w:sz w:val="21"/>
          <w:szCs w:val="21"/>
        </w:rPr>
        <w:fldChar w:fldCharType="separate"/>
      </w:r>
      <w:r>
        <w:rPr>
          <w:rFonts w:hint="eastAsia" w:asciiTheme="minorEastAsia" w:hAnsiTheme="minorEastAsia" w:eastAsiaTheme="minorEastAsia" w:cstheme="minorEastAsia"/>
          <w:b w:val="0"/>
          <w:bCs/>
          <w:i w:val="0"/>
          <w:iCs w:val="0"/>
          <w:sz w:val="21"/>
          <w:szCs w:val="21"/>
        </w:rPr>
        <w:t>118</w:t>
      </w:r>
      <w:r>
        <w:rPr>
          <w:rFonts w:hint="eastAsia" w:asciiTheme="minorEastAsia" w:hAnsiTheme="minorEastAsia" w:eastAsiaTheme="minorEastAsia" w:cstheme="minorEastAsia"/>
          <w:b w:val="0"/>
          <w:bCs/>
          <w:i w:val="0"/>
          <w:iCs w:val="0"/>
          <w:sz w:val="21"/>
          <w:szCs w:val="21"/>
        </w:rPr>
        <w:fldChar w:fldCharType="end"/>
      </w:r>
      <w:r>
        <w:rPr>
          <w:rFonts w:hint="eastAsia" w:asciiTheme="minorEastAsia" w:hAnsiTheme="minorEastAsia" w:eastAsiaTheme="minorEastAsia" w:cstheme="minorEastAsia"/>
          <w:b w:val="0"/>
          <w:bCs/>
          <w:i w:val="0"/>
          <w:iCs w:val="0"/>
          <w:sz w:val="21"/>
          <w:szCs w:val="21"/>
        </w:rPr>
        <w:fldChar w:fldCharType="end"/>
      </w:r>
    </w:p>
    <w:p>
      <w:pPr>
        <w:pStyle w:val="2"/>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_Toc25198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_Toc25198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119</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_Toc30877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附件1：承包人承揽工程项目一览表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_Toc30877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120</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_Toc29948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附件2</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保廉合同</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_Toc29948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121</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_Toc12103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附件3</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安全生产协议书</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_Toc12103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123</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_Toc14497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rPr>
        <w:t>：工程质量保修书</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_Toc14497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128</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_Toc7279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rPr>
        <w:t>：主要建设工程文件目录</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_Toc7279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130</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_Toc23989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6</w:t>
      </w:r>
      <w:r>
        <w:rPr>
          <w:rFonts w:hint="eastAsia" w:asciiTheme="minorEastAsia" w:hAnsiTheme="minorEastAsia" w:eastAsiaTheme="minorEastAsia" w:cstheme="minorEastAsia"/>
          <w:b w:val="0"/>
          <w:bCs/>
          <w:sz w:val="21"/>
          <w:szCs w:val="21"/>
        </w:rPr>
        <w:t>：承包人用于本工程施工的机械设备表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_Toc23989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131</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_Toc25153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7</w:t>
      </w:r>
      <w:r>
        <w:rPr>
          <w:rFonts w:hint="eastAsia" w:asciiTheme="minorEastAsia" w:hAnsiTheme="minorEastAsia" w:eastAsiaTheme="minorEastAsia" w:cstheme="minorEastAsia"/>
          <w:b w:val="0"/>
          <w:bCs/>
          <w:sz w:val="21"/>
          <w:szCs w:val="21"/>
        </w:rPr>
        <w:t>：承包人主要施工管理人员表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_Toc25153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132</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480" w:lineRule="exact"/>
        <w:ind w:left="0" w:leftChars="0" w:firstLine="840" w:firstLineChars="4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_Toc4148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8</w:t>
      </w:r>
      <w:r>
        <w:rPr>
          <w:rFonts w:hint="eastAsia" w:asciiTheme="minorEastAsia" w:hAnsiTheme="minorEastAsia" w:eastAsiaTheme="minorEastAsia" w:cstheme="minorEastAsia"/>
          <w:b w:val="0"/>
          <w:bCs/>
          <w:sz w:val="21"/>
          <w:szCs w:val="21"/>
        </w:rPr>
        <w:t>：分包人主要施工管理人员表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_Toc4148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133</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pStyle w:val="14"/>
        <w:keepNext w:val="0"/>
        <w:keepLines w:val="0"/>
        <w:pageBreakBefore w:val="0"/>
        <w:widowControl w:val="0"/>
        <w:tabs>
          <w:tab w:val="right" w:leader="dot" w:pos="8820"/>
        </w:tabs>
        <w:kinsoku/>
        <w:wordWrap/>
        <w:overflowPunct/>
        <w:topLinePunct w:val="0"/>
        <w:autoSpaceDE/>
        <w:autoSpaceDN/>
        <w:bidi w:val="0"/>
        <w:adjustRightInd/>
        <w:snapToGrid/>
        <w:spacing w:line="560" w:lineRule="exact"/>
        <w:ind w:left="0" w:leftChars="0" w:firstLine="1280" w:firstLineChars="400"/>
        <w:textAlignment w:val="auto"/>
        <w:rPr>
          <w:rFonts w:hint="eastAsia" w:ascii="仿宋_GB2312" w:hAnsi="仿宋_GB2312" w:eastAsia="仿宋_GB2312" w:cs="仿宋_GB2312"/>
          <w:b w:val="0"/>
          <w:bCs/>
          <w:sz w:val="32"/>
          <w:szCs w:val="32"/>
        </w:rPr>
      </w:pPr>
    </w:p>
    <w:p>
      <w:pPr>
        <w:pStyle w:val="5"/>
        <w:pageBreakBefore w:val="0"/>
        <w:widowControl w:val="0"/>
        <w:kinsoku/>
        <w:wordWrap/>
        <w:overflowPunct/>
        <w:topLinePunct w:val="0"/>
        <w:autoSpaceDE/>
        <w:autoSpaceDN/>
        <w:bidi w:val="0"/>
        <w:adjustRightInd/>
        <w:snapToGrid/>
        <w:spacing w:line="560" w:lineRule="exact"/>
        <w:ind w:left="0" w:leftChars="0" w:firstLine="643" w:firstLineChars="200"/>
        <w:jc w:val="center"/>
        <w:textAlignment w:val="auto"/>
        <w:rPr>
          <w:rFonts w:ascii="Times New Roman" w:hAnsi="Times New Roman" w:eastAsia="仿宋_GB2312"/>
          <w:sz w:val="28"/>
          <w:szCs w:val="28"/>
        </w:rPr>
        <w:sectPr>
          <w:footerReference r:id="rId10" w:type="first"/>
          <w:footerReference r:id="rId9" w:type="default"/>
          <w:pgSz w:w="11906" w:h="16838"/>
          <w:pgMar w:top="1418" w:right="1555" w:bottom="1418" w:left="1531"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仿宋_GB2312" w:hAnsi="仿宋_GB2312" w:eastAsia="仿宋_GB2312" w:cs="仿宋_GB2312"/>
          <w:sz w:val="32"/>
          <w:szCs w:val="32"/>
        </w:rPr>
        <w:fldChar w:fldCharType="end"/>
      </w:r>
    </w:p>
    <w:p>
      <w:pPr>
        <w:pStyle w:val="3"/>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b/>
          <w:bCs w:val="0"/>
          <w:szCs w:val="24"/>
        </w:rPr>
      </w:pPr>
      <w:bookmarkStart w:id="47" w:name="_Toc9014"/>
      <w:r>
        <w:rPr>
          <w:rFonts w:hint="eastAsia" w:asciiTheme="minorEastAsia" w:hAnsiTheme="minorEastAsia" w:eastAsiaTheme="minorEastAsia" w:cstheme="minorEastAsia"/>
          <w:b/>
          <w:bCs w:val="0"/>
          <w:szCs w:val="24"/>
        </w:rPr>
        <w:t>第一部分 合同协议书</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color w:val="000000"/>
          <w:sz w:val="24"/>
          <w:szCs w:val="24"/>
          <w:u w:val="single"/>
        </w:rPr>
      </w:pPr>
      <w:r>
        <w:rPr>
          <w:rFonts w:hint="eastAsia" w:asciiTheme="minorEastAsia" w:hAnsiTheme="minorEastAsia" w:eastAsiaTheme="minorEastAsia" w:cstheme="minorEastAsia"/>
          <w:b w:val="0"/>
          <w:bCs/>
          <w:color w:val="000000"/>
          <w:sz w:val="24"/>
          <w:szCs w:val="24"/>
        </w:rPr>
        <w:t>发包人（全称）：</w:t>
      </w:r>
      <w:r>
        <w:rPr>
          <w:rFonts w:hint="eastAsia" w:asciiTheme="minorEastAsia" w:hAnsiTheme="minorEastAsia" w:eastAsiaTheme="minorEastAsia" w:cstheme="minorEastAsia"/>
          <w:b w:val="0"/>
          <w:bCs/>
          <w:color w:val="000000"/>
          <w:sz w:val="24"/>
          <w:szCs w:val="24"/>
          <w:u w:val="single"/>
          <w:lang w:val="en-US" w:eastAsia="zh-CN"/>
        </w:rPr>
        <w:t>寿光南水北调供水有限公司</w:t>
      </w:r>
      <w:r>
        <w:rPr>
          <w:rFonts w:hint="eastAsia" w:asciiTheme="minorEastAsia" w:hAnsiTheme="minorEastAsia" w:eastAsiaTheme="minorEastAsia" w:cstheme="minorEastAsia"/>
          <w:b w:val="0"/>
          <w:bCs/>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color w:val="000000"/>
          <w:sz w:val="24"/>
          <w:szCs w:val="24"/>
          <w:u w:val="single"/>
        </w:rPr>
      </w:pPr>
      <w:r>
        <w:rPr>
          <w:rFonts w:hint="eastAsia" w:asciiTheme="minorEastAsia" w:hAnsiTheme="minorEastAsia" w:eastAsiaTheme="minorEastAsia" w:cstheme="minorEastAsia"/>
          <w:b w:val="0"/>
          <w:bCs/>
          <w:color w:val="000000"/>
          <w:sz w:val="24"/>
          <w:szCs w:val="24"/>
        </w:rPr>
        <w:t>承包人（全称）：</w:t>
      </w:r>
      <w:r>
        <w:rPr>
          <w:rFonts w:hint="eastAsia" w:asciiTheme="minorEastAsia" w:hAnsiTheme="minorEastAsia" w:eastAsiaTheme="minorEastAsia" w:cstheme="minorEastAsia"/>
          <w:b w:val="0"/>
          <w:bCs/>
          <w:color w:val="000000"/>
          <w:sz w:val="24"/>
          <w:szCs w:val="24"/>
          <w:u w:val="single"/>
        </w:rPr>
        <w:t xml:space="preserve"> </w:t>
      </w:r>
      <w:r>
        <w:rPr>
          <w:rFonts w:hint="eastAsia" w:asciiTheme="minorEastAsia" w:hAnsiTheme="minorEastAsia" w:eastAsiaTheme="minorEastAsia" w:cstheme="minorEastAsia"/>
          <w:b w:val="0"/>
          <w:bCs/>
          <w:color w:val="000000"/>
          <w:sz w:val="24"/>
          <w:szCs w:val="24"/>
          <w:u w:val="single"/>
          <w:lang w:val="en-US" w:eastAsia="zh-CN"/>
        </w:rPr>
        <w:t xml:space="preserve">                      </w:t>
      </w:r>
      <w:r>
        <w:rPr>
          <w:rFonts w:hint="eastAsia" w:asciiTheme="minorEastAsia" w:hAnsiTheme="minorEastAsia" w:eastAsiaTheme="minorEastAsia" w:cstheme="minorEastAsia"/>
          <w:b w:val="0"/>
          <w:bCs/>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根据《中华人民共和国合同法》、《中华人民共和国建筑法》及有关法律规定，遵循平等、自愿、公平和诚实信用的原则，双方就</w:t>
      </w:r>
      <w:r>
        <w:rPr>
          <w:rFonts w:hint="eastAsia" w:asciiTheme="minorEastAsia" w:hAnsiTheme="minorEastAsia" w:eastAsiaTheme="minorEastAsia" w:cstheme="minorEastAsia"/>
          <w:b w:val="0"/>
          <w:bCs/>
          <w:color w:val="000000"/>
          <w:sz w:val="24"/>
          <w:szCs w:val="24"/>
          <w:u w:val="single"/>
          <w:lang w:val="en-US" w:eastAsia="zh-CN"/>
        </w:rPr>
        <w:t>羊口河北湿地供水管道</w:t>
      </w:r>
      <w:r>
        <w:rPr>
          <w:rFonts w:hint="eastAsia" w:asciiTheme="minorEastAsia" w:hAnsiTheme="minorEastAsia" w:eastAsiaTheme="minorEastAsia" w:cstheme="minorEastAsia"/>
          <w:b w:val="0"/>
          <w:bCs/>
          <w:color w:val="000000"/>
          <w:sz w:val="24"/>
          <w:szCs w:val="24"/>
        </w:rPr>
        <w:t>工程施工及有关事项协商一致，共同达成如下协议：</w:t>
      </w:r>
    </w:p>
    <w:p>
      <w:pPr>
        <w:pStyle w:val="3"/>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b/>
          <w:bCs w:val="0"/>
          <w:szCs w:val="24"/>
        </w:rPr>
      </w:pPr>
      <w:bookmarkStart w:id="48" w:name="_Toc15703"/>
      <w:r>
        <w:rPr>
          <w:rFonts w:hint="eastAsia" w:asciiTheme="minorEastAsia" w:hAnsiTheme="minorEastAsia" w:eastAsiaTheme="minorEastAsia" w:cstheme="minorEastAsia"/>
          <w:b/>
          <w:bCs w:val="0"/>
          <w:szCs w:val="24"/>
        </w:rPr>
        <w:t>一、工程概况</w:t>
      </w:r>
      <w:bookmarkEnd w:id="4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Cs/>
          <w:color w:val="000000"/>
          <w:sz w:val="24"/>
          <w:szCs w:val="24"/>
        </w:rPr>
        <w:t>1.工程名称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bCs/>
          <w:color w:val="000000"/>
          <w:sz w:val="24"/>
          <w:szCs w:val="24"/>
          <w:u w:val="single"/>
          <w:lang w:val="en-US" w:eastAsia="zh-CN"/>
        </w:rPr>
        <w:t>羊口河北湿地供水管道</w:t>
      </w:r>
      <w:r>
        <w:rPr>
          <w:rFonts w:hint="eastAsia" w:asciiTheme="minorEastAsia" w:hAnsiTheme="minorEastAsia" w:eastAsiaTheme="minorEastAsia" w:cstheme="minorEastAsia"/>
          <w:color w:val="000000"/>
          <w:sz w:val="24"/>
          <w:szCs w:val="24"/>
          <w:u w:val="single"/>
          <w:lang w:val="en-US" w:eastAsia="zh-CN"/>
        </w:rPr>
        <w:t>工程</w:t>
      </w:r>
      <w:r>
        <w:rPr>
          <w:rFonts w:hint="eastAsia" w:asciiTheme="minorEastAsia" w:hAnsiTheme="minorEastAsia" w:eastAsiaTheme="minorEastAsia" w:cstheme="minorEastAsia"/>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2.工程地点：</w:t>
      </w:r>
      <w:r>
        <w:rPr>
          <w:rFonts w:hint="eastAsia" w:asciiTheme="minorEastAsia" w:hAnsiTheme="minorEastAsia" w:eastAsiaTheme="minorEastAsia" w:cstheme="minorEastAsia"/>
          <w:bCs/>
          <w:color w:val="000000"/>
          <w:sz w:val="24"/>
          <w:szCs w:val="24"/>
          <w:u w:val="single"/>
          <w:lang w:val="en-US" w:eastAsia="zh-CN"/>
        </w:rPr>
        <w:t>寿光市羊口镇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3.工程立项批准文号：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无</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bCs/>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rPr>
        <w:t>4.资金来源：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自筹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bCs/>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u w:val="single"/>
        </w:rPr>
      </w:pPr>
      <w:r>
        <w:rPr>
          <w:rFonts w:hint="eastAsia" w:asciiTheme="minorEastAsia" w:hAnsiTheme="minorEastAsia" w:eastAsiaTheme="minorEastAsia" w:cstheme="minorEastAsia"/>
          <w:bCs/>
          <w:color w:val="000000"/>
          <w:sz w:val="24"/>
          <w:szCs w:val="24"/>
        </w:rPr>
        <w:t>5.工程内容：</w:t>
      </w:r>
      <w:r>
        <w:rPr>
          <w:rFonts w:hint="eastAsia" w:asciiTheme="minorEastAsia" w:hAnsiTheme="minorEastAsia" w:eastAsiaTheme="minorEastAsia" w:cstheme="minorEastAsia"/>
          <w:bCs/>
          <w:color w:val="000000"/>
          <w:sz w:val="24"/>
          <w:szCs w:val="24"/>
          <w:u w:val="single"/>
          <w:lang w:val="en-US" w:eastAsia="zh-CN"/>
        </w:rPr>
        <w:t>沟槽开挖、土方回填、余方弃置、管道安装</w:t>
      </w:r>
      <w:r>
        <w:rPr>
          <w:rFonts w:hint="eastAsia" w:asciiTheme="minorEastAsia" w:hAnsiTheme="minorEastAsia" w:eastAsiaTheme="minorEastAsia" w:cstheme="minorEastAsia"/>
          <w:color w:val="000000"/>
          <w:sz w:val="24"/>
          <w:szCs w:val="24"/>
          <w:u w:val="single"/>
          <w:lang w:eastAsia="zh-CN"/>
        </w:rPr>
        <w:t>，</w:t>
      </w:r>
      <w:r>
        <w:rPr>
          <w:rFonts w:hint="eastAsia" w:asciiTheme="minorEastAsia" w:hAnsiTheme="minorEastAsia" w:eastAsiaTheme="minorEastAsia" w:cstheme="minorEastAsia"/>
          <w:color w:val="000000"/>
          <w:sz w:val="24"/>
          <w:szCs w:val="24"/>
          <w:u w:val="single"/>
          <w:lang w:val="en-US" w:eastAsia="zh-CN"/>
        </w:rPr>
        <w:t>详见图纸及清单</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bCs/>
          <w:color w:val="000000"/>
          <w:sz w:val="24"/>
          <w:szCs w:val="24"/>
          <w:u w:val="singl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具体工程见《承包人承揽工程项目一览表》（附件1）。</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工程承包范围：</w:t>
      </w:r>
      <w:r>
        <w:rPr>
          <w:rFonts w:hint="eastAsia" w:asciiTheme="minorEastAsia" w:hAnsiTheme="minorEastAsia" w:eastAsiaTheme="minorEastAsia" w:cstheme="minorEastAsia"/>
          <w:bCs/>
          <w:color w:val="000000"/>
          <w:sz w:val="24"/>
          <w:szCs w:val="24"/>
          <w:u w:val="single"/>
        </w:rPr>
        <w:t>本工程的总承包范围是上述所列工程内容施工全过程承包，具体包括(但不限于)施工实施、施工管理、工程竣工、缺陷修复、交付使用、配合移交直至工程缺陷责任期结束。本项目缺陷责任期为【</w:t>
      </w:r>
      <w:r>
        <w:rPr>
          <w:rFonts w:hint="eastAsia" w:asciiTheme="minorEastAsia" w:hAnsiTheme="minorEastAsia" w:eastAsiaTheme="minorEastAsia" w:cstheme="minorEastAsia"/>
          <w:bCs/>
          <w:color w:val="000000"/>
          <w:sz w:val="24"/>
          <w:szCs w:val="24"/>
          <w:u w:val="single"/>
          <w:lang w:val="en-US" w:eastAsia="zh-CN"/>
        </w:rPr>
        <w:t>1</w:t>
      </w:r>
      <w:r>
        <w:rPr>
          <w:rFonts w:hint="eastAsia" w:asciiTheme="minorEastAsia" w:hAnsiTheme="minorEastAsia" w:eastAsiaTheme="minorEastAsia" w:cstheme="minorEastAsia"/>
          <w:bCs/>
          <w:color w:val="000000"/>
          <w:sz w:val="24"/>
          <w:szCs w:val="24"/>
          <w:u w:val="single"/>
        </w:rPr>
        <w:t>】年，质量保留金比例为【</w:t>
      </w:r>
      <w:r>
        <w:rPr>
          <w:rFonts w:hint="eastAsia" w:asciiTheme="minorEastAsia" w:hAnsiTheme="minorEastAsia" w:eastAsiaTheme="minorEastAsia" w:cstheme="minorEastAsia"/>
          <w:bCs/>
          <w:color w:val="000000"/>
          <w:sz w:val="24"/>
          <w:szCs w:val="24"/>
          <w:u w:val="single"/>
          <w:lang w:val="en-US" w:eastAsia="zh-CN"/>
        </w:rPr>
        <w:t>3</w:t>
      </w:r>
      <w:r>
        <w:rPr>
          <w:rFonts w:hint="eastAsia" w:asciiTheme="minorEastAsia" w:hAnsiTheme="minorEastAsia" w:eastAsiaTheme="minorEastAsia" w:cstheme="minorEastAsia"/>
          <w:bCs/>
          <w:color w:val="000000"/>
          <w:sz w:val="24"/>
          <w:szCs w:val="24"/>
          <w:u w:val="single"/>
        </w:rPr>
        <w:t>】%</w:t>
      </w:r>
      <w:r>
        <w:rPr>
          <w:rFonts w:hint="eastAsia" w:asciiTheme="minorEastAsia" w:hAnsiTheme="minorEastAsia" w:eastAsiaTheme="minorEastAsia" w:cstheme="minorEastAsia"/>
          <w:bCs/>
          <w:color w:val="000000"/>
          <w:sz w:val="24"/>
          <w:szCs w:val="24"/>
        </w:rPr>
        <w:t>。</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49" w:name="_Toc10904"/>
      <w:r>
        <w:rPr>
          <w:rFonts w:hint="eastAsia" w:asciiTheme="minorEastAsia" w:hAnsiTheme="minorEastAsia" w:eastAsiaTheme="minorEastAsia" w:cstheme="minorEastAsia"/>
          <w:b/>
          <w:bCs w:val="0"/>
          <w:szCs w:val="24"/>
        </w:rPr>
        <w:t>二、合同工期</w:t>
      </w:r>
      <w:bookmarkEnd w:id="4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计划开工日期：</w:t>
      </w:r>
      <w:r>
        <w:rPr>
          <w:rFonts w:hint="eastAsia" w:asciiTheme="minorEastAsia" w:hAnsiTheme="minorEastAsia" w:eastAsiaTheme="minorEastAsia" w:cstheme="minorEastAsia"/>
          <w:color w:val="000000"/>
          <w:sz w:val="24"/>
          <w:szCs w:val="24"/>
          <w:u w:val="single"/>
          <w:lang w:val="en-US" w:eastAsia="zh-CN"/>
        </w:rPr>
        <w:t>2025</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7</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14</w:t>
      </w:r>
      <w:r>
        <w:rPr>
          <w:rFonts w:hint="eastAsia" w:asciiTheme="minorEastAsia" w:hAnsiTheme="minorEastAsia" w:eastAsiaTheme="minorEastAsia" w:cstheme="minorEastAsia"/>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计划竣工日期：</w:t>
      </w:r>
      <w:r>
        <w:rPr>
          <w:rFonts w:hint="eastAsia" w:asciiTheme="minorEastAsia" w:hAnsiTheme="minorEastAsia" w:eastAsiaTheme="minorEastAsia" w:cstheme="minorEastAsia"/>
          <w:color w:val="000000"/>
          <w:sz w:val="24"/>
          <w:szCs w:val="24"/>
          <w:u w:val="single"/>
          <w:lang w:val="en-US" w:eastAsia="zh-CN"/>
        </w:rPr>
        <w:t>2025</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lang w:val="en-US" w:eastAsia="zh-CN"/>
        </w:rPr>
        <w:t>8</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lang w:val="en-US" w:eastAsia="zh-CN"/>
        </w:rPr>
        <w:t>12</w:t>
      </w:r>
      <w:r>
        <w:rPr>
          <w:rFonts w:hint="eastAsia" w:asciiTheme="minorEastAsia" w:hAnsiTheme="minorEastAsia" w:eastAsiaTheme="minorEastAsia" w:cstheme="minorEastAsia"/>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工期总日历天数：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30</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天。工期总日历天数与根据前述计划开竣工日期计算的工期天数不一致的，以工期总日历天数为准。除发包人及不可抗拒因素，工期不得顺延，季节性施工已包括在工期内，工期不予顺延。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具体以建设单位发出的开工通知书为准</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0" w:name="_Toc14360"/>
      <w:r>
        <w:rPr>
          <w:rFonts w:hint="eastAsia" w:asciiTheme="minorEastAsia" w:hAnsiTheme="minorEastAsia" w:eastAsiaTheme="minorEastAsia" w:cstheme="minorEastAsia"/>
          <w:b/>
          <w:bCs w:val="0"/>
          <w:szCs w:val="24"/>
        </w:rPr>
        <w:t>三、质量标准</w:t>
      </w:r>
      <w:bookmarkEnd w:id="5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工程质量符合 </w:t>
      </w:r>
      <w:r>
        <w:rPr>
          <w:rFonts w:hint="eastAsia" w:asciiTheme="minorEastAsia" w:hAnsiTheme="minorEastAsia" w:eastAsiaTheme="minorEastAsia" w:cstheme="minorEastAsia"/>
          <w:color w:val="000000"/>
          <w:sz w:val="24"/>
          <w:szCs w:val="24"/>
          <w:u w:val="single"/>
        </w:rPr>
        <w:t>执行按照国家、行业、地方现行标准及规范、现行最新版《工程建设标准强制性条文》、《建筑工程施工质量验收统一标准》等，项目须一次验收合格标准</w:t>
      </w:r>
      <w:r>
        <w:rPr>
          <w:rFonts w:hint="eastAsia" w:asciiTheme="minorEastAsia" w:hAnsiTheme="minorEastAsia" w:eastAsiaTheme="minorEastAsia" w:cstheme="minorEastAsia"/>
          <w:color w:val="000000"/>
          <w:sz w:val="24"/>
          <w:szCs w:val="24"/>
        </w:rPr>
        <w:t>。</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1" w:name="_Toc14142"/>
      <w:r>
        <w:rPr>
          <w:rFonts w:hint="eastAsia" w:asciiTheme="minorEastAsia" w:hAnsiTheme="minorEastAsia" w:eastAsiaTheme="minorEastAsia" w:cstheme="minorEastAsia"/>
          <w:b/>
          <w:bCs w:val="0"/>
          <w:szCs w:val="24"/>
        </w:rPr>
        <w:t>四、签约合同价与合同价格形式</w:t>
      </w:r>
      <w:bookmarkEnd w:id="51"/>
      <w:r>
        <w:rPr>
          <w:rFonts w:hint="eastAsia" w:asciiTheme="minorEastAsia" w:hAnsiTheme="minorEastAsia" w:eastAsiaTheme="minorEastAsia" w:cstheme="minorEastAsia"/>
          <w:b/>
          <w:bCs w:val="0"/>
          <w:szCs w:val="24"/>
        </w:rPr>
        <w:tab/>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1.签约合同价为：合同暂定总价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），不含税金额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元，税率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，税金</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（1）安全文明施工费：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（2）材料和工程设备暂估价金额：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（3）专业工程暂估价金额：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贰万伍仟元整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25000.00</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（4）暂列金额：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2.合同价格形式：</w:t>
      </w:r>
      <w:r>
        <w:rPr>
          <w:rFonts w:hint="eastAsia" w:asciiTheme="minorEastAsia" w:hAnsiTheme="minorEastAsia" w:eastAsiaTheme="minorEastAsia" w:cstheme="minorEastAsia"/>
          <w:color w:val="000000"/>
          <w:sz w:val="24"/>
          <w:szCs w:val="24"/>
          <w:u w:val="single"/>
          <w:lang w:val="en-US" w:eastAsia="zh-CN"/>
        </w:rPr>
        <w:t>固定单价合同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2" w:name="_Toc3210"/>
      <w:r>
        <w:rPr>
          <w:rFonts w:hint="eastAsia" w:asciiTheme="minorEastAsia" w:hAnsiTheme="minorEastAsia" w:eastAsiaTheme="minorEastAsia" w:cstheme="minorEastAsia"/>
          <w:b/>
          <w:bCs w:val="0"/>
          <w:szCs w:val="24"/>
        </w:rPr>
        <w:t>五、项目经理</w:t>
      </w:r>
      <w:bookmarkEnd w:id="5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承包人项目经理：</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3" w:name="_Toc30561"/>
      <w:r>
        <w:rPr>
          <w:rFonts w:hint="eastAsia" w:asciiTheme="minorEastAsia" w:hAnsiTheme="minorEastAsia" w:eastAsiaTheme="minorEastAsia" w:cstheme="minorEastAsia"/>
          <w:b/>
          <w:bCs w:val="0"/>
          <w:szCs w:val="24"/>
        </w:rPr>
        <w:t>六、合同文件构成</w:t>
      </w:r>
      <w:bookmarkEnd w:id="53"/>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（1）中标通知书（如果有）；</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（2）投标函及其附录（如果有）； </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（3）专用合同条款及其附件；</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（4）通用合同条款；</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（5）技术标准和要求； </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（6）图纸；</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（7）已标价工程量清单或预算书；</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（8）其他合同文件。</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在合同订立及履行过程中形成的与合同有关的文件均构成合同文件组成部分。</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4" w:name="_Toc3545"/>
      <w:r>
        <w:rPr>
          <w:rFonts w:hint="eastAsia" w:asciiTheme="minorEastAsia" w:hAnsiTheme="minorEastAsia" w:eastAsiaTheme="minorEastAsia" w:cstheme="minorEastAsia"/>
          <w:b/>
          <w:bCs w:val="0"/>
          <w:szCs w:val="24"/>
        </w:rPr>
        <w:t>七、承诺</w:t>
      </w:r>
      <w:bookmarkEnd w:id="54"/>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3.发包人和承包人通过招投标形式签订合同的，双方理解并承诺不再就同一工程另行签订与合同实质性内容相背离的协议。</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5" w:name="_Toc16364"/>
      <w:r>
        <w:rPr>
          <w:rFonts w:hint="eastAsia" w:asciiTheme="minorEastAsia" w:hAnsiTheme="minorEastAsia" w:eastAsiaTheme="minorEastAsia" w:cstheme="minorEastAsia"/>
          <w:b/>
          <w:bCs w:val="0"/>
          <w:szCs w:val="24"/>
        </w:rPr>
        <w:t>八、词语含义</w:t>
      </w:r>
      <w:bookmarkEnd w:id="55"/>
    </w:p>
    <w:p>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本协议书中词语含义与第二部分通用合同条款中赋予的含义相同。</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6" w:name="_Toc6638"/>
      <w:r>
        <w:rPr>
          <w:rFonts w:hint="eastAsia" w:asciiTheme="minorEastAsia" w:hAnsiTheme="minorEastAsia" w:eastAsiaTheme="minorEastAsia" w:cstheme="minorEastAsia"/>
          <w:b/>
          <w:bCs w:val="0"/>
          <w:szCs w:val="24"/>
        </w:rPr>
        <w:t>九、签订时间</w:t>
      </w:r>
      <w:bookmarkEnd w:id="56"/>
    </w:p>
    <w:p>
      <w:pPr>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本合同于</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年</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月</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日签订。</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7" w:name="_Toc2344"/>
      <w:r>
        <w:rPr>
          <w:rFonts w:hint="eastAsia" w:asciiTheme="minorEastAsia" w:hAnsiTheme="minorEastAsia" w:eastAsiaTheme="minorEastAsia" w:cstheme="minorEastAsia"/>
          <w:b/>
          <w:bCs w:val="0"/>
          <w:szCs w:val="24"/>
        </w:rPr>
        <w:t>十、签订地点</w:t>
      </w:r>
      <w:bookmarkEnd w:id="57"/>
    </w:p>
    <w:p>
      <w:pPr>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本合同在</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签订。</w:t>
      </w:r>
    </w:p>
    <w:p>
      <w:pPr>
        <w:pStyle w:val="3"/>
        <w:bidi w:val="0"/>
        <w:spacing w:line="480" w:lineRule="exact"/>
        <w:ind w:firstLine="480" w:firstLineChars="200"/>
        <w:rPr>
          <w:rFonts w:hint="eastAsia" w:asciiTheme="minorEastAsia" w:hAnsiTheme="minorEastAsia" w:eastAsiaTheme="minorEastAsia" w:cstheme="minorEastAsia"/>
          <w:b/>
          <w:bCs w:val="0"/>
          <w:szCs w:val="24"/>
        </w:rPr>
      </w:pPr>
      <w:bookmarkStart w:id="58" w:name="_Toc6634"/>
      <w:r>
        <w:rPr>
          <w:rFonts w:hint="eastAsia" w:asciiTheme="minorEastAsia" w:hAnsiTheme="minorEastAsia" w:eastAsiaTheme="minorEastAsia" w:cstheme="minorEastAsia"/>
          <w:b/>
          <w:bCs w:val="0"/>
          <w:szCs w:val="24"/>
        </w:rPr>
        <w:t>十一、补充协议</w:t>
      </w:r>
      <w:bookmarkEnd w:id="58"/>
    </w:p>
    <w:p>
      <w:pPr>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Cs/>
          <w:color w:val="000000"/>
          <w:sz w:val="24"/>
          <w:szCs w:val="24"/>
        </w:rPr>
        <w:t>合同未尽事宜，合同当事人另行签订补充协议，补充协议是合同的组成部分。</w:t>
      </w:r>
    </w:p>
    <w:p>
      <w:pPr>
        <w:pStyle w:val="4"/>
        <w:bidi w:val="0"/>
        <w:spacing w:line="480" w:lineRule="exact"/>
        <w:ind w:firstLine="480" w:firstLineChars="200"/>
        <w:rPr>
          <w:rFonts w:hint="eastAsia" w:asciiTheme="minorEastAsia" w:hAnsiTheme="minorEastAsia" w:eastAsiaTheme="minorEastAsia" w:cstheme="minorEastAsia"/>
          <w:b/>
          <w:bCs w:val="0"/>
          <w:szCs w:val="24"/>
        </w:rPr>
      </w:pPr>
      <w:bookmarkStart w:id="59" w:name="_Toc2499"/>
      <w:r>
        <w:rPr>
          <w:rFonts w:hint="eastAsia" w:asciiTheme="minorEastAsia" w:hAnsiTheme="minorEastAsia" w:eastAsiaTheme="minorEastAsia" w:cstheme="minorEastAsia"/>
          <w:b/>
          <w:bCs w:val="0"/>
          <w:szCs w:val="24"/>
        </w:rPr>
        <w:t>十二、合同生效</w:t>
      </w:r>
      <w:bookmarkEnd w:id="59"/>
    </w:p>
    <w:p>
      <w:pPr>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本合同自</w:t>
      </w:r>
      <w:r>
        <w:rPr>
          <w:rFonts w:hint="eastAsia" w:asciiTheme="minorEastAsia" w:hAnsiTheme="minorEastAsia" w:eastAsiaTheme="minorEastAsia" w:cstheme="minorEastAsia"/>
          <w:bCs/>
          <w:color w:val="000000"/>
          <w:sz w:val="24"/>
          <w:szCs w:val="24"/>
          <w:u w:val="single"/>
        </w:rPr>
        <w:t>合同当事人双方法定代表人或授权代表签名(或加盖法人章)并加盖单位公章或合同专用章之日起</w:t>
      </w:r>
      <w:r>
        <w:rPr>
          <w:rFonts w:hint="eastAsia" w:asciiTheme="minorEastAsia" w:hAnsiTheme="minorEastAsia" w:eastAsiaTheme="minorEastAsia" w:cstheme="minorEastAsia"/>
          <w:bCs/>
          <w:color w:val="000000"/>
          <w:sz w:val="24"/>
          <w:szCs w:val="24"/>
        </w:rPr>
        <w:t>生效。</w:t>
      </w:r>
    </w:p>
    <w:p>
      <w:pPr>
        <w:pStyle w:val="4"/>
        <w:bidi w:val="0"/>
        <w:spacing w:line="480" w:lineRule="exact"/>
        <w:ind w:firstLine="480" w:firstLineChars="200"/>
        <w:rPr>
          <w:rFonts w:hint="eastAsia" w:asciiTheme="minorEastAsia" w:hAnsiTheme="minorEastAsia" w:eastAsiaTheme="minorEastAsia" w:cstheme="minorEastAsia"/>
          <w:b/>
          <w:bCs w:val="0"/>
          <w:szCs w:val="24"/>
        </w:rPr>
      </w:pPr>
      <w:bookmarkStart w:id="60" w:name="_Toc23437"/>
      <w:r>
        <w:rPr>
          <w:rFonts w:hint="eastAsia" w:asciiTheme="minorEastAsia" w:hAnsiTheme="minorEastAsia" w:eastAsiaTheme="minorEastAsia" w:cstheme="minorEastAsia"/>
          <w:b/>
          <w:bCs w:val="0"/>
          <w:szCs w:val="24"/>
        </w:rPr>
        <w:t>十三、合同份数</w:t>
      </w:r>
      <w:bookmarkEnd w:id="60"/>
    </w:p>
    <w:p>
      <w:pPr>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本合同一式</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份，均具有同等法律效力，发包人执</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份，承包人执</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w:t>
      </w:r>
    </w:p>
    <w:p>
      <w:pPr>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bCs/>
          <w:color w:val="000000"/>
          <w:sz w:val="24"/>
          <w:szCs w:val="24"/>
        </w:rPr>
      </w:pP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8"/>
        <w:gridCol w:w="4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4518" w:type="dxa"/>
            <w:tcBorders>
              <w:tl2br w:val="nil"/>
              <w:tr2bl w:val="nil"/>
            </w:tcBorders>
          </w:tcPr>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发包人：  (公章)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法定代表人或其委托代理人：  （签字）                    （签字）</w:t>
            </w:r>
          </w:p>
          <w:p>
            <w:pPr>
              <w:pageBreakBefore w:val="0"/>
              <w:widowControl w:val="0"/>
              <w:tabs>
                <w:tab w:val="left" w:pos="4410"/>
              </w:tabs>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组织机构代码：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委托代理人：</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rPr>
                <w:rFonts w:hint="eastAsia" w:asciiTheme="minorEastAsia" w:hAnsiTheme="minorEastAsia" w:eastAsiaTheme="minorEastAsia" w:cstheme="minorEastAsia"/>
                <w:color w:val="000000"/>
                <w:sz w:val="24"/>
                <w:szCs w:val="24"/>
                <w:vertAlign w:val="baseline"/>
              </w:rPr>
            </w:pPr>
          </w:p>
        </w:tc>
        <w:tc>
          <w:tcPr>
            <w:tcW w:w="4519" w:type="dxa"/>
            <w:tcBorders>
              <w:tl2br w:val="nil"/>
              <w:tr2bl w:val="nil"/>
            </w:tcBorders>
          </w:tcPr>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 承包人：  (公章)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法定代表人或其委托代理人：</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 （签字）</w:t>
            </w:r>
          </w:p>
          <w:p>
            <w:pPr>
              <w:pageBreakBefore w:val="0"/>
              <w:widowControl w:val="0"/>
              <w:tabs>
                <w:tab w:val="left" w:pos="4410"/>
              </w:tabs>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组织机构代码：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委托代理人：</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rPr>
              <w:t xml:space="preserve">                  </w:t>
            </w:r>
          </w:p>
          <w:p>
            <w:pPr>
              <w:pageBreakBefore w:val="0"/>
              <w:widowControl w:val="0"/>
              <w:kinsoku/>
              <w:wordWrap/>
              <w:overflowPunct/>
              <w:topLinePunct w:val="0"/>
              <w:bidi w:val="0"/>
              <w:spacing w:line="480" w:lineRule="exact"/>
              <w:rPr>
                <w:rFonts w:hint="eastAsia" w:asciiTheme="minorEastAsia" w:hAnsiTheme="minorEastAsia" w:eastAsiaTheme="minorEastAsia" w:cstheme="minorEastAsia"/>
                <w:color w:val="000000"/>
                <w:sz w:val="24"/>
                <w:szCs w:val="24"/>
                <w:vertAlign w:val="baseline"/>
              </w:rPr>
            </w:pPr>
          </w:p>
        </w:tc>
      </w:tr>
    </w:tbl>
    <w:p>
      <w:pPr>
        <w:pageBreakBefore w:val="0"/>
        <w:widowControl w:val="0"/>
        <w:kinsoku/>
        <w:wordWrap/>
        <w:overflowPunct/>
        <w:topLinePunct w:val="0"/>
        <w:bidi w:val="0"/>
        <w:spacing w:line="480" w:lineRule="exact"/>
        <w:ind w:firstLine="480" w:firstLineChars="200"/>
        <w:rPr>
          <w:rFonts w:hint="eastAsia" w:asciiTheme="minorEastAsia" w:hAnsiTheme="minorEastAsia" w:eastAsiaTheme="minorEastAsia" w:cstheme="minorEastAsia"/>
          <w:color w:val="000000"/>
          <w:sz w:val="24"/>
          <w:szCs w:val="24"/>
        </w:rPr>
      </w:pPr>
    </w:p>
    <w:p>
      <w:pPr>
        <w:pStyle w:val="3"/>
        <w:pageBreakBefore w:val="0"/>
        <w:widowControl w:val="0"/>
        <w:kinsoku/>
        <w:wordWrap/>
        <w:overflowPunct/>
        <w:topLinePunct w:val="0"/>
        <w:bidi w:val="0"/>
        <w:spacing w:line="480" w:lineRule="exact"/>
        <w:ind w:firstLine="0" w:firstLineChars="0"/>
        <w:jc w:val="left"/>
        <w:outlineLvl w:val="0"/>
        <w:rPr>
          <w:rFonts w:hint="eastAsia" w:asciiTheme="minorEastAsia" w:hAnsiTheme="minorEastAsia" w:eastAsiaTheme="minorEastAsia" w:cstheme="minorEastAsia"/>
          <w:szCs w:val="24"/>
        </w:rPr>
      </w:pPr>
      <w:bookmarkStart w:id="61" w:name="_Toc11037"/>
    </w:p>
    <w:p>
      <w:pPr>
        <w:pStyle w:val="3"/>
        <w:pageBreakBefore w:val="0"/>
        <w:widowControl w:val="0"/>
        <w:kinsoku/>
        <w:wordWrap/>
        <w:overflowPunct/>
        <w:topLinePunct w:val="0"/>
        <w:bidi w:val="0"/>
        <w:spacing w:line="480" w:lineRule="exact"/>
        <w:ind w:firstLine="0" w:firstLineChars="0"/>
        <w:jc w:val="left"/>
        <w:outlineLvl w:val="0"/>
        <w:rPr>
          <w:rFonts w:hint="eastAsia" w:asciiTheme="minorEastAsia" w:hAnsiTheme="minorEastAsia" w:eastAsiaTheme="minorEastAsia" w:cstheme="minorEastAsia"/>
          <w:szCs w:val="24"/>
        </w:rPr>
      </w:pPr>
    </w:p>
    <w:p>
      <w:pPr>
        <w:pStyle w:val="3"/>
        <w:pageBreakBefore w:val="0"/>
        <w:widowControl w:val="0"/>
        <w:kinsoku/>
        <w:wordWrap/>
        <w:overflowPunct/>
        <w:topLinePunct w:val="0"/>
        <w:bidi w:val="0"/>
        <w:spacing w:line="480" w:lineRule="exact"/>
        <w:ind w:firstLine="480" w:firstLineChars="200"/>
        <w:jc w:val="left"/>
        <w:outlineLvl w:val="0"/>
        <w:rPr>
          <w:rFonts w:hint="eastAsia" w:asciiTheme="minorEastAsia" w:hAnsiTheme="minorEastAsia" w:eastAsiaTheme="minorEastAsia" w:cstheme="minorEastAsia"/>
          <w:b/>
          <w:bCs w:val="0"/>
          <w:sz w:val="24"/>
          <w:szCs w:val="24"/>
        </w:rPr>
      </w:pPr>
      <w:r>
        <w:rPr>
          <w:rStyle w:val="71"/>
          <w:rFonts w:hint="eastAsia" w:asciiTheme="minorEastAsia" w:hAnsiTheme="minorEastAsia" w:eastAsiaTheme="minorEastAsia" w:cstheme="minorEastAsia"/>
          <w:b/>
          <w:bCs w:val="0"/>
          <w:sz w:val="24"/>
          <w:szCs w:val="24"/>
        </w:rPr>
        <w:t>第二部分 通用合同条款</w:t>
      </w:r>
      <w:bookmarkEnd w:id="61"/>
      <w:bookmarkStart w:id="62" w:name="_Toc337558727"/>
    </w:p>
    <w:p>
      <w:pPr>
        <w:pStyle w:val="4"/>
        <w:bidi w:val="0"/>
        <w:spacing w:line="480" w:lineRule="exact"/>
        <w:ind w:firstLine="480" w:firstLineChars="200"/>
        <w:jc w:val="left"/>
        <w:rPr>
          <w:rFonts w:hint="eastAsia" w:asciiTheme="minorEastAsia" w:hAnsiTheme="minorEastAsia" w:eastAsiaTheme="minorEastAsia" w:cstheme="minorEastAsia"/>
          <w:b/>
          <w:bCs w:val="0"/>
          <w:szCs w:val="24"/>
        </w:rPr>
      </w:pPr>
      <w:bookmarkStart w:id="63" w:name="_Toc13007"/>
      <w:r>
        <w:rPr>
          <w:rFonts w:hint="eastAsia" w:asciiTheme="minorEastAsia" w:hAnsiTheme="minorEastAsia" w:eastAsiaTheme="minorEastAsia" w:cstheme="minorEastAsia"/>
          <w:b/>
          <w:bCs w:val="0"/>
          <w:szCs w:val="24"/>
        </w:rPr>
        <w:t>1.</w:t>
      </w:r>
      <w:bookmarkStart w:id="64" w:name="_Toc303538973"/>
      <w:bookmarkEnd w:id="64"/>
      <w:bookmarkStart w:id="65" w:name="_Toc303538974"/>
      <w:bookmarkEnd w:id="65"/>
      <w:bookmarkStart w:id="66" w:name="_Toc303538975"/>
      <w:bookmarkEnd w:id="66"/>
      <w:bookmarkStart w:id="67" w:name="_Toc303538972"/>
      <w:bookmarkEnd w:id="67"/>
      <w:bookmarkStart w:id="68" w:name="_Toc303538976"/>
      <w:bookmarkEnd w:id="68"/>
      <w:bookmarkStart w:id="69" w:name="_Toc296503027"/>
      <w:bookmarkStart w:id="70" w:name="_Toc296346528"/>
      <w:r>
        <w:rPr>
          <w:rFonts w:hint="eastAsia" w:asciiTheme="minorEastAsia" w:hAnsiTheme="minorEastAsia" w:eastAsiaTheme="minorEastAsia" w:cstheme="minorEastAsia"/>
          <w:b/>
          <w:bCs w:val="0"/>
          <w:szCs w:val="24"/>
        </w:rPr>
        <w:t xml:space="preserve"> 一般约定</w:t>
      </w:r>
      <w:bookmarkEnd w:id="62"/>
      <w:bookmarkEnd w:id="63"/>
      <w:bookmarkEnd w:id="69"/>
      <w:bookmarkEnd w:id="70"/>
    </w:p>
    <w:p>
      <w:pPr>
        <w:pStyle w:val="5"/>
        <w:bidi w:val="0"/>
        <w:spacing w:line="480" w:lineRule="exact"/>
        <w:ind w:firstLine="480" w:firstLineChars="200"/>
        <w:jc w:val="left"/>
        <w:outlineLvl w:val="2"/>
        <w:rPr>
          <w:rFonts w:hint="eastAsia" w:asciiTheme="minorEastAsia" w:hAnsiTheme="minorEastAsia" w:eastAsiaTheme="minorEastAsia" w:cstheme="minorEastAsia"/>
          <w:szCs w:val="24"/>
        </w:rPr>
      </w:pPr>
      <w:bookmarkStart w:id="71" w:name="_Toc296346529"/>
      <w:bookmarkStart w:id="72" w:name="_Toc337558728"/>
      <w:bookmarkStart w:id="73" w:name="_Toc296503028"/>
      <w:bookmarkStart w:id="74" w:name="_Toc10503"/>
      <w:r>
        <w:rPr>
          <w:rFonts w:hint="eastAsia" w:asciiTheme="minorEastAsia" w:hAnsiTheme="minorEastAsia" w:eastAsiaTheme="minorEastAsia" w:cstheme="minorEastAsia"/>
          <w:szCs w:val="24"/>
        </w:rPr>
        <w:t>1.1词语定义</w:t>
      </w:r>
      <w:bookmarkEnd w:id="71"/>
      <w:bookmarkEnd w:id="72"/>
      <w:bookmarkEnd w:id="73"/>
      <w:r>
        <w:rPr>
          <w:rFonts w:hint="eastAsia" w:asciiTheme="minorEastAsia" w:hAnsiTheme="minorEastAsia" w:eastAsiaTheme="minorEastAsia" w:cstheme="minorEastAsia"/>
          <w:szCs w:val="24"/>
        </w:rPr>
        <w:t>与解释</w:t>
      </w:r>
      <w:bookmarkEnd w:id="74"/>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合同协议书、通用合同条款、专用合同条款中的下列词语具有本款所赋予的含义：</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 合同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Theme="minorEastAsia" w:hAnsiTheme="minorEastAsia" w:eastAsiaTheme="minorEastAsia" w:cstheme="minorEastAsia"/>
          <w:color w:val="000000"/>
          <w:sz w:val="24"/>
          <w:szCs w:val="24"/>
        </w:rPr>
        <w:t>及其附件</w:t>
      </w:r>
      <w:r>
        <w:rPr>
          <w:rFonts w:hint="eastAsia" w:asciiTheme="minorEastAsia" w:hAnsiTheme="minorEastAsia" w:eastAsiaTheme="minorEastAsia" w:cstheme="minorEastAsia"/>
          <w:color w:val="000000"/>
          <w:kern w:val="0"/>
          <w:sz w:val="24"/>
          <w:szCs w:val="24"/>
        </w:rPr>
        <w:t>、通用合同条款、技术标准和要求、图纸、已标价工程量清单或预算书以及其他合同文件。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1.1.1.2 合同协议书：是指构成合同的由发包人和承包人共同签署的称为“合同协议书”的书面文件。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1.1.1.3 中标通知书：是指构成合同的由发包人通知承包人中标的书面文件。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1.1.1.4 投标函：是指构成合同的由承包人填写并签署的用于投标的称为“投标函”的文件。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1.1.1.5 投标函附录：是指构成合同的附在投标函后的称为“投标函附录”的文件。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1.1.1.6 技术标准和要求：是指构成合同的施工应当遵守的或指导施工的国家、行业或地方的技术标准和要求，以及合同约定的技术标准和要求。</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1.1.1.8 已标价工程量清单：是指构成合同的由承包人按照规定的格式和要求填写并标明价格的工程量清单，包括说明和表格。</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1.1.1.9 预算书：是指构成合同的由承包人按照发包人规定的格式和要求编制的工程预算文件。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1.1.1.10 其他合同文件：是指经合同当事人约定的与工程施工有关的具有合同约束力的文件或书面协议。合同当事人可以在专用合同条款中进行约定。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 合同当事人及其他相关方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1.1.2.1 合同当事人：是指发包人和（或）承包人。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1.1.2.2 发包人：是指与承包人签订合同协议书的当事人及取得该当事人资格的合法继承人。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1.1.2.3 承包人：是指与发包人签订合同协议书的，具有相应工程施工承包资质的当事人及取得该当事人资格的合法继承人。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1.1.2.4 监理人：是指在专用合同条款中指明的，受发包人委托按照法律规定进行工程监督管理的法人或其他组织。</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1.1.2.5 设计人：是指在专用合同条款中指明的，受发包人委托负责工程设计并具备相应工程设计资质的法人或其他组织。</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1.1.2.6 分包人：</w:t>
      </w:r>
      <w:bookmarkStart w:id="75" w:name="#go5"/>
      <w:bookmarkEnd w:id="75"/>
      <w:r>
        <w:rPr>
          <w:rFonts w:hint="eastAsia" w:asciiTheme="minorEastAsia" w:hAnsiTheme="minorEastAsia" w:eastAsiaTheme="minorEastAsia" w:cstheme="minorEastAsia"/>
          <w:color w:val="000000"/>
          <w:kern w:val="0"/>
          <w:sz w:val="24"/>
          <w:szCs w:val="24"/>
        </w:rPr>
        <w:t>是指按照法律规定和合同约定，分包部分工程或工作，并与承包人签订分包合同的具有相应资质的法人。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1.1.2.7 发包人代表：是指由发包人任命并派驻施工现场在发包人授权范围内行使发包人权利的人。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1.1.2.8 项目经理：是指由承包人任命并派驻施工现场，在承包人授权范围内负责合同履行，且按照法律规定具有相应资格的项目负责人。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1.1.2.9 总监理工程师：是指由监理人任命并派驻施工现场进行工程监理的总负责人。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 工程和设备</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1.1.3.1 工程：是指与合同协议书中工程承包范围对应的永久工程和（或）临时工程。</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1.1.3.2 永久工程：是指按合同约定建造并移交给发包人的工程，包括工程设备。</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1.1.3.3 临时工程：是指为完成合同约定的永久工程所修建的各类临时性工程，不包括施工设备。</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1.1.3.4 单位工程：是指在合同协议书中指明的，具备独立施工条件并能形成独立使用功能的永久工程。</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1.1.3.5 工程设备：是指构成永久工程的机电设备、金属结构设备、仪器及其他类似的设备和装置。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1.1.3.6 施工设备：是指为完成合同约定的各项工作所需的设备、器具和其他物品，但不包括工程设备、临时工程和材料。</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1.1.3.7 施工现场：是指用于工程施工的场所，以及在专用合同条款中指明作为施工场所组成部分的其他场所，包括永久占地和临时占地。</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1.1.3.8临时设施：是指为完成合同约定的各项工作所服务的临时性生产和生活设施。</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1.1.3.9 永久占地：是指专用合同条款中指明为实施工程需永久占用的土地。</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1.1.3.10 临时占地：是指专用合同条款中指明为实施工程需要临时占用的土地。</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 日期和期限</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1.1.4.2 竣工日期：包括计划竣工日期和实际竣工日期。计划竣工日期是指合同协议书约定的竣工日期；实际竣工日期按照第13.2.3项〔竣工日期〕的约定确定。 </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1.1.4.3 工期：是指在合同协议书约定的承包人完成工程所需的期限，包括按照合同约定所作的期限变更。</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1.1.4.4 缺陷责任期：是指承包人按照合同约定承担缺陷修复义务，且发包人预留质量保证金（已缴纳履约保证金的除外）的期限，自工程实际竣工日期起计算。</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1.1.4.5 保修期：是指承包人按照合同约定对工程承担保修责任的期限，从工程竣工验收合格之日起计算。</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1.1.4.6 基准日期：招标发包的工程以投标截止日前28天的日期为基准日期，直接发包的工程以合同签订日前28天的日期为基准日期。</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1.1.4.7 天：除特别指明外，均指日历天。合同中按天计算时间的，开始当天不计入，从次日开始计算，期限最后一天的截止时间为当天24:00时。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 合同价格和费用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1.1.5.1 签约合同价：是指</w:t>
      </w:r>
      <w:r>
        <w:rPr>
          <w:rFonts w:hint="eastAsia" w:asciiTheme="minorEastAsia" w:hAnsiTheme="minorEastAsia" w:eastAsiaTheme="minorEastAsia" w:cstheme="minorEastAsia"/>
          <w:color w:val="000000"/>
          <w:sz w:val="24"/>
          <w:szCs w:val="24"/>
        </w:rPr>
        <w:t>发包人和承包人在合同协议书中确定的总金额，包括安全文明施工费、暂估价及暂列金额等。</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1.1.5.2 合同价格：是指发包人用于支付承包人按照合同约定完成承包范围内全部工作的金额，包括合同履行过程中按合同约定发生的价格变化。</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1.1.5.3 费用：是指为履行合同所发生的或将要发生的所有必需的开支，包括管理费和应分摊的其他费用，但不包括利润。</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1.1.5.4 暂估价：是指发包人在工程量清单或预算书中提供的用于支付必然发生但暂时不能确定价格的材料、工程设备的单价、专业工程以及服务工作的金额。</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1.1.5.6 计日工：是指合同履行过程中，承包人完成发包人提出的零星工作或需要采用计日工计价的变更工作时，按合同中约定的单价计价的一种方式。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1.1.5.7 质量保证金</w:t>
      </w:r>
      <w:bookmarkStart w:id="76" w:name="#go2"/>
      <w:bookmarkEnd w:id="76"/>
      <w:r>
        <w:rPr>
          <w:rFonts w:hint="eastAsia" w:asciiTheme="minorEastAsia" w:hAnsiTheme="minorEastAsia" w:eastAsiaTheme="minorEastAsia" w:cstheme="minorEastAsia"/>
          <w:color w:val="000000"/>
          <w:kern w:val="0"/>
          <w:sz w:val="24"/>
          <w:szCs w:val="24"/>
        </w:rPr>
        <w:t>：是指按照第15.3款〔质量保证金〕约定承包人用于保证其在缺陷责任期内履行缺陷修补义务的担保</w:t>
      </w:r>
      <w:r>
        <w:rPr>
          <w:rFonts w:hint="eastAsia" w:asciiTheme="minorEastAsia" w:hAnsiTheme="minorEastAsia" w:eastAsiaTheme="minorEastAsia" w:cstheme="minorEastAsia"/>
          <w:color w:val="000000"/>
          <w:sz w:val="24"/>
          <w:szCs w:val="24"/>
        </w:rPr>
        <w:t>。</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1.1.5.8 总价项目：是指在现行国家、行业以及地方的计量规则中无工程量计算规则，在已标价工程量清单或预算书中以总价或以费率形式计算的项目。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1.1.6 其他</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1.1.6.1 书面形式：是指合同文件、信函、电报、传真等可以有形地表现所载内容的形式。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rPr>
      </w:pPr>
      <w:bookmarkStart w:id="77" w:name="_Toc337558729"/>
      <w:bookmarkStart w:id="78" w:name="_Toc3370"/>
      <w:bookmarkStart w:id="79" w:name="_Toc296346530"/>
      <w:bookmarkStart w:id="80" w:name="_Toc296503029"/>
      <w:r>
        <w:rPr>
          <w:rStyle w:val="48"/>
          <w:rFonts w:hint="eastAsia" w:asciiTheme="minorEastAsia" w:hAnsiTheme="minorEastAsia" w:eastAsiaTheme="minorEastAsia" w:cstheme="minorEastAsia"/>
          <w:sz w:val="24"/>
          <w:szCs w:val="24"/>
          <w:lang w:val="en-US" w:eastAsia="zh-CN"/>
        </w:rPr>
        <w:t>1.2语言文字</w:t>
      </w:r>
      <w:bookmarkEnd w:id="77"/>
      <w:bookmarkEnd w:id="78"/>
      <w:bookmarkEnd w:id="79"/>
      <w:bookmarkEnd w:id="80"/>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合同以中国的汉语简体文字编写、解释和说明。合同当事人在专用合同条款中约定使用两种以上语言时，汉语为优先解释和说明合同的语言。</w:t>
      </w:r>
    </w:p>
    <w:p>
      <w:pPr>
        <w:pStyle w:val="5"/>
        <w:bidi w:val="0"/>
        <w:spacing w:line="480" w:lineRule="exact"/>
        <w:ind w:firstLine="480" w:firstLineChars="200"/>
        <w:jc w:val="left"/>
        <w:outlineLvl w:val="2"/>
        <w:rPr>
          <w:rFonts w:hint="eastAsia" w:asciiTheme="minorEastAsia" w:hAnsiTheme="minorEastAsia" w:eastAsiaTheme="minorEastAsia" w:cstheme="minorEastAsia"/>
          <w:szCs w:val="24"/>
        </w:rPr>
      </w:pPr>
      <w:bookmarkStart w:id="81" w:name="_Toc296346531"/>
      <w:bookmarkStart w:id="82" w:name="_Toc337558730"/>
      <w:bookmarkStart w:id="83" w:name="_Toc296503030"/>
      <w:bookmarkStart w:id="84" w:name="_Toc76"/>
      <w:r>
        <w:rPr>
          <w:rFonts w:hint="eastAsia" w:asciiTheme="minorEastAsia" w:hAnsiTheme="minorEastAsia" w:eastAsiaTheme="minorEastAsia" w:cstheme="minorEastAsia"/>
          <w:szCs w:val="24"/>
        </w:rPr>
        <w:t>1.3法律</w:t>
      </w:r>
      <w:bookmarkEnd w:id="81"/>
      <w:bookmarkEnd w:id="82"/>
      <w:bookmarkEnd w:id="83"/>
      <w:bookmarkEnd w:id="84"/>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合同所称法律是指中华人民共和国法律、行政法规、部门规章，以及工程所在地的地方性法规、自治条例、单行条例和地方政府规章等。</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合同当事人可以在专用合同条款中约定合同适用的其他规范性文件。</w:t>
      </w:r>
    </w:p>
    <w:p>
      <w:pPr>
        <w:pStyle w:val="5"/>
        <w:bidi w:val="0"/>
        <w:spacing w:line="480" w:lineRule="exact"/>
        <w:ind w:firstLine="480" w:firstLineChars="200"/>
        <w:jc w:val="left"/>
        <w:outlineLvl w:val="2"/>
        <w:rPr>
          <w:rFonts w:hint="eastAsia" w:asciiTheme="minorEastAsia" w:hAnsiTheme="minorEastAsia" w:eastAsiaTheme="minorEastAsia" w:cstheme="minorEastAsia"/>
          <w:szCs w:val="24"/>
        </w:rPr>
      </w:pPr>
      <w:bookmarkStart w:id="85" w:name="_Toc11379"/>
      <w:r>
        <w:rPr>
          <w:rFonts w:hint="eastAsia" w:asciiTheme="minorEastAsia" w:hAnsiTheme="minorEastAsia" w:eastAsiaTheme="minorEastAsia" w:cstheme="minorEastAsia"/>
          <w:szCs w:val="24"/>
        </w:rPr>
        <w:t>1.4 标准和规范</w:t>
      </w:r>
      <w:bookmarkEnd w:id="85"/>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1.4.1 适用于工程的国家标准、行业标准、工程所在地的地方性标准，以及相应的规范、规程等，合同当事人有特别要求的，应在专用合同条款中约定。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1.4.2 发包人要求使用国外标准、规范的，发包人负责提供原文版本和中文译本，并在专用合同条款中约定提供标准规范的名称、份数和时间。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86" w:name="_Toc10949"/>
      <w:r>
        <w:rPr>
          <w:rFonts w:hint="eastAsia" w:asciiTheme="minorEastAsia" w:hAnsiTheme="minorEastAsia" w:eastAsiaTheme="minorEastAsia" w:cstheme="minorEastAsia"/>
          <w:szCs w:val="24"/>
        </w:rPr>
        <w:t>1</w:t>
      </w:r>
      <w:bookmarkStart w:id="87" w:name="_Toc296503031"/>
      <w:bookmarkStart w:id="88" w:name="_Toc296346532"/>
      <w:bookmarkStart w:id="89" w:name="_Toc337558731"/>
      <w:r>
        <w:rPr>
          <w:rFonts w:hint="eastAsia" w:asciiTheme="minorEastAsia" w:hAnsiTheme="minorEastAsia" w:eastAsiaTheme="minorEastAsia" w:cstheme="minorEastAsia"/>
          <w:szCs w:val="24"/>
        </w:rPr>
        <w:t>.5 合同文件的优先顺序</w:t>
      </w:r>
      <w:bookmarkEnd w:id="86"/>
    </w:p>
    <w:bookmarkEnd w:id="87"/>
    <w:bookmarkEnd w:id="88"/>
    <w:bookmarkEnd w:id="89"/>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（1）合同协议书；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（2）中标通知书（如果有）；</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（3）投标函及其附录（如果有）；</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（4）专用合同条款</w:t>
      </w:r>
      <w:r>
        <w:rPr>
          <w:rFonts w:hint="eastAsia" w:asciiTheme="minorEastAsia" w:hAnsiTheme="minorEastAsia" w:eastAsiaTheme="minorEastAsia" w:cstheme="minorEastAsia"/>
          <w:color w:val="000000"/>
          <w:sz w:val="24"/>
          <w:szCs w:val="24"/>
        </w:rPr>
        <w:t>及其附件</w:t>
      </w:r>
      <w:r>
        <w:rPr>
          <w:rFonts w:hint="eastAsia" w:asciiTheme="minorEastAsia" w:hAnsiTheme="minorEastAsia" w:eastAsiaTheme="minorEastAsia" w:cstheme="minorEastAsia"/>
          <w:color w:val="000000"/>
          <w:kern w:val="0"/>
          <w:sz w:val="24"/>
          <w:szCs w:val="24"/>
        </w:rPr>
        <w:t>；</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（5）通用合同条款；</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（6）技术标准和要求；</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（7）图纸；</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（8）已标价工程量清单或预算书；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（9）其他合同文件。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上述各项合同文件包括合同当事人就该项合同文件所作出的补充和修改，属于同一类内容的文件，应以最新签署的为准。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在合同订立及履行过程中形成的与合同有关的文件均构成合同文件组成部分，并根据其性质确定优先解释顺序。</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90" w:name="_Toc11567"/>
      <w:r>
        <w:rPr>
          <w:rFonts w:hint="eastAsia" w:asciiTheme="minorEastAsia" w:hAnsiTheme="minorEastAsia" w:eastAsiaTheme="minorEastAsia" w:cstheme="minorEastAsia"/>
          <w:szCs w:val="24"/>
        </w:rPr>
        <w:t>1</w:t>
      </w:r>
      <w:bookmarkStart w:id="91" w:name="_Toc337558732"/>
      <w:bookmarkStart w:id="92" w:name="_Toc296503032"/>
      <w:bookmarkStart w:id="93" w:name="_Toc296346533"/>
      <w:r>
        <w:rPr>
          <w:rFonts w:hint="eastAsia" w:asciiTheme="minorEastAsia" w:hAnsiTheme="minorEastAsia" w:eastAsiaTheme="minorEastAsia" w:cstheme="minorEastAsia"/>
          <w:szCs w:val="24"/>
        </w:rPr>
        <w:t>.6图纸和承包人文件</w:t>
      </w:r>
      <w:bookmarkEnd w:id="90"/>
    </w:p>
    <w:bookmarkEnd w:id="91"/>
    <w:bookmarkEnd w:id="92"/>
    <w:bookmarkEnd w:id="93"/>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 图纸的提供和交底</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因发包人未按合同约定提供图纸导致承包人费用增加和（或）工期延误的，按照第7.5.1项〔因发包人原因导致工期延误〕约定办理。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 图纸的错误</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1.6.3 图纸的修改和补充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1.6.4 承包人文件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承包人应按照专用合同条款的约定提供应当由其编制的与工程施工有关的文件，并按照专用合同条款约定的期限、数量和形式提交监理人，并由监理人报送发包人。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1.6.5 图纸和承包人文件的保管</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除专用合同条款另有约定外，承包人应在施工现场另外保存一套完整的图纸和承包人文件，供发包人、监理人及有关人员进行工程检查时使用。</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94" w:name="_Toc23746"/>
      <w:r>
        <w:rPr>
          <w:rFonts w:hint="eastAsia" w:asciiTheme="minorEastAsia" w:hAnsiTheme="minorEastAsia" w:eastAsiaTheme="minorEastAsia" w:cstheme="minorEastAsia"/>
          <w:szCs w:val="24"/>
        </w:rPr>
        <w:t>1</w:t>
      </w:r>
      <w:bookmarkStart w:id="95" w:name="_Toc296346534"/>
      <w:bookmarkStart w:id="96" w:name="_Toc296503033"/>
      <w:bookmarkStart w:id="97" w:name="_Toc337558733"/>
      <w:r>
        <w:rPr>
          <w:rFonts w:hint="eastAsia" w:asciiTheme="minorEastAsia" w:hAnsiTheme="minorEastAsia" w:eastAsiaTheme="minorEastAsia" w:cstheme="minorEastAsia"/>
          <w:szCs w:val="24"/>
        </w:rPr>
        <w:t>.7联络</w:t>
      </w:r>
      <w:bookmarkEnd w:id="94"/>
    </w:p>
    <w:bookmarkEnd w:id="95"/>
    <w:bookmarkEnd w:id="96"/>
    <w:bookmarkEnd w:id="97"/>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1.7.1 与合同有关的通知、批准、证明、证书、指示、指令、要求、请求、同意、意见、确定和决定等，均应采用书面形式，并应在合同约定的期限内送达接收人和送达地点。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000000"/>
          <w:kern w:val="0"/>
          <w:sz w:val="24"/>
          <w:szCs w:val="24"/>
        </w:rPr>
        <w:t>1.7.3 发包人和承包人应当及时签收另一方送达至送达地点和指定接收人的来往信函。拒不签收的，由此增加的费用和（或）延误的工期由拒绝接收一方承担。</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98" w:name="_Toc23744"/>
      <w:r>
        <w:rPr>
          <w:rFonts w:hint="eastAsia" w:asciiTheme="minorEastAsia" w:hAnsiTheme="minorEastAsia" w:eastAsiaTheme="minorEastAsia" w:cstheme="minorEastAsia"/>
          <w:szCs w:val="24"/>
        </w:rPr>
        <w:t>1</w:t>
      </w:r>
      <w:bookmarkStart w:id="99" w:name="_Toc296503035"/>
      <w:bookmarkStart w:id="100" w:name="_Toc337558734"/>
      <w:bookmarkStart w:id="101" w:name="_Toc296346536"/>
      <w:r>
        <w:rPr>
          <w:rFonts w:hint="eastAsia" w:asciiTheme="minorEastAsia" w:hAnsiTheme="minorEastAsia" w:eastAsiaTheme="minorEastAsia" w:cstheme="minorEastAsia"/>
          <w:szCs w:val="24"/>
        </w:rPr>
        <w:t>.8严禁贿赂</w:t>
      </w:r>
      <w:bookmarkEnd w:id="98"/>
    </w:p>
    <w:bookmarkEnd w:id="99"/>
    <w:bookmarkEnd w:id="100"/>
    <w:bookmarkEnd w:id="10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合同当事人不得以贿赂或变相贿赂的方式，谋取非法利益或损害对方权益。因一方合同当事人的贿赂造成对方损失的，应赔偿损失，并承担相应的法律责任。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102" w:name="_Toc22291"/>
      <w:r>
        <w:rPr>
          <w:rFonts w:hint="eastAsia" w:asciiTheme="minorEastAsia" w:hAnsiTheme="minorEastAsia" w:eastAsiaTheme="minorEastAsia" w:cstheme="minorEastAsia"/>
          <w:szCs w:val="24"/>
        </w:rPr>
        <w:t>1</w:t>
      </w:r>
      <w:bookmarkStart w:id="103" w:name="_Toc296503036"/>
      <w:bookmarkStart w:id="104" w:name="_Toc337558735"/>
      <w:bookmarkStart w:id="105" w:name="_Toc296346537"/>
      <w:r>
        <w:rPr>
          <w:rFonts w:hint="eastAsia" w:asciiTheme="minorEastAsia" w:hAnsiTheme="minorEastAsia" w:eastAsiaTheme="minorEastAsia" w:cstheme="minorEastAsia"/>
          <w:szCs w:val="24"/>
        </w:rPr>
        <w:t>.9化石、文物</w:t>
      </w:r>
      <w:bookmarkEnd w:id="102"/>
    </w:p>
    <w:bookmarkEnd w:id="103"/>
    <w:bookmarkEnd w:id="104"/>
    <w:bookmarkEnd w:id="105"/>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发包人、监理人和承包人应按有关政府行政管理部门要求采取妥善的保护措施，由此增加的费用和（或）延误的工期由发包人承担。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承包人发现文物后不及时报告或隐瞒不报，致使文物丢失或损坏的，应赔偿损失，并承担相应的法律责任。</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106" w:name="_Toc17895"/>
      <w:r>
        <w:rPr>
          <w:rFonts w:hint="eastAsia" w:asciiTheme="minorEastAsia" w:hAnsiTheme="minorEastAsia" w:eastAsiaTheme="minorEastAsia" w:cstheme="minorEastAsia"/>
          <w:szCs w:val="24"/>
        </w:rPr>
        <w:t>1</w:t>
      </w:r>
      <w:bookmarkStart w:id="107" w:name="_Toc337558736"/>
      <w:r>
        <w:rPr>
          <w:rFonts w:hint="eastAsia" w:asciiTheme="minorEastAsia" w:hAnsiTheme="minorEastAsia" w:eastAsiaTheme="minorEastAsia" w:cstheme="minorEastAsia"/>
          <w:szCs w:val="24"/>
        </w:rPr>
        <w:t>.10交通运输</w:t>
      </w:r>
      <w:bookmarkEnd w:id="106"/>
    </w:p>
    <w:bookmarkEnd w:id="107"/>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1.10.1 出入现场的权利</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1.10.2 场外交通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1.10.3场内交通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场外交通和场内交通的边界由合同当事人在专用合同条款中约定。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1.10.4 超大件和超重件的运输</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1.10.5 道路和桥梁的损坏责任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因承包人运输造成施工场地内外公共道路和桥梁损坏的，由承包人承担修复损坏的全部费用和可能引起的赔偿。</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1.10.6 水路和航空运输</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108" w:name="_Toc14834"/>
      <w:r>
        <w:rPr>
          <w:rFonts w:hint="eastAsia" w:asciiTheme="minorEastAsia" w:hAnsiTheme="minorEastAsia" w:eastAsiaTheme="minorEastAsia" w:cstheme="minorEastAsia"/>
          <w:szCs w:val="24"/>
        </w:rPr>
        <w:t>1</w:t>
      </w:r>
      <w:bookmarkStart w:id="109" w:name="_Toc337558737"/>
      <w:bookmarkStart w:id="110" w:name="_Toc296346538"/>
      <w:bookmarkStart w:id="111" w:name="_Toc296503037"/>
      <w:r>
        <w:rPr>
          <w:rFonts w:hint="eastAsia" w:asciiTheme="minorEastAsia" w:hAnsiTheme="minorEastAsia" w:eastAsiaTheme="minorEastAsia" w:cstheme="minorEastAsia"/>
          <w:szCs w:val="24"/>
        </w:rPr>
        <w:t>.11知识产权</w:t>
      </w:r>
      <w:bookmarkEnd w:id="108"/>
      <w:r>
        <w:rPr>
          <w:rFonts w:hint="eastAsia" w:asciiTheme="minorEastAsia" w:hAnsiTheme="minorEastAsia" w:eastAsiaTheme="minorEastAsia" w:cstheme="minorEastAsia"/>
          <w:szCs w:val="24"/>
        </w:rPr>
        <w:t xml:space="preserve"> </w:t>
      </w:r>
      <w:bookmarkEnd w:id="109"/>
    </w:p>
    <w:bookmarkEnd w:id="110"/>
    <w:bookmarkEnd w:id="11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sz w:val="24"/>
          <w:szCs w:val="24"/>
        </w:rPr>
        <w:t>1.11.4 除专用合同条款另有约定外，承包人在合同签订前和签订时已确定采用的专利、专有技术、技术秘密的使用费已包含在签约合同价中。</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112" w:name="_Toc20077"/>
      <w:r>
        <w:rPr>
          <w:rFonts w:hint="eastAsia" w:asciiTheme="minorEastAsia" w:hAnsiTheme="minorEastAsia" w:eastAsiaTheme="minorEastAsia" w:cstheme="minorEastAsia"/>
          <w:szCs w:val="24"/>
        </w:rPr>
        <w:t>1</w:t>
      </w:r>
      <w:bookmarkStart w:id="113" w:name="_Toc337558738"/>
      <w:r>
        <w:rPr>
          <w:rFonts w:hint="eastAsia" w:asciiTheme="minorEastAsia" w:hAnsiTheme="minorEastAsia" w:eastAsiaTheme="minorEastAsia" w:cstheme="minorEastAsia"/>
          <w:szCs w:val="24"/>
        </w:rPr>
        <w:t>.12保密</w:t>
      </w:r>
      <w:bookmarkEnd w:id="112"/>
    </w:p>
    <w:bookmarkEnd w:id="113"/>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除法律规定或合同另有约定外，未经发包人同意，承包人不得将发包人提供的图纸、文件以及声明需要保密的资料信息等商业秘密泄露给第三方。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除法律规定或合同另有约定外，未经承包人同意，发包人不得将承包人提供的技术秘密及声明需要保密的资料信息等商业秘密泄露给第三方。</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114" w:name="_Toc26777"/>
      <w:r>
        <w:rPr>
          <w:rFonts w:hint="eastAsia" w:asciiTheme="minorEastAsia" w:hAnsiTheme="minorEastAsia" w:eastAsiaTheme="minorEastAsia" w:cstheme="minorEastAsia"/>
          <w:szCs w:val="24"/>
        </w:rPr>
        <w:t>1.13工程量清单错误的修正</w:t>
      </w:r>
      <w:bookmarkEnd w:id="114"/>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除专用合同条款另有约定外，发包人提供的工程量清单，应被认为是准确的和完整的。出现下列情形之一时，发包人应予以修正，并相应调整合同价格：</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（1）工程量清单存在缺项、漏项的；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（2）工程量清单偏差超出专用合同条款约定的工程量偏差范围的；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（3）未按照国家现行计量规范强制性规定计量的。</w:t>
      </w:r>
    </w:p>
    <w:p>
      <w:pPr>
        <w:pStyle w:val="4"/>
        <w:bidi w:val="0"/>
        <w:spacing w:line="480" w:lineRule="exact"/>
        <w:ind w:firstLine="480" w:firstLineChars="200"/>
        <w:jc w:val="left"/>
        <w:rPr>
          <w:rFonts w:hint="eastAsia" w:asciiTheme="minorEastAsia" w:hAnsiTheme="minorEastAsia" w:eastAsiaTheme="minorEastAsia" w:cstheme="minorEastAsia"/>
          <w:szCs w:val="24"/>
        </w:rPr>
      </w:pPr>
      <w:bookmarkStart w:id="115" w:name="_Toc22253"/>
      <w:r>
        <w:rPr>
          <w:rFonts w:hint="eastAsia" w:asciiTheme="minorEastAsia" w:hAnsiTheme="minorEastAsia" w:eastAsiaTheme="minorEastAsia" w:cstheme="minorEastAsia"/>
          <w:szCs w:val="24"/>
        </w:rPr>
        <w:t>2</w:t>
      </w:r>
      <w:bookmarkStart w:id="116" w:name="_Toc337558739"/>
      <w:bookmarkStart w:id="117" w:name="_Toc296503038"/>
      <w:bookmarkStart w:id="118" w:name="_Toc296346539"/>
      <w:bookmarkStart w:id="119" w:name="OLE_LINK1"/>
      <w:r>
        <w:rPr>
          <w:rFonts w:hint="eastAsia" w:asciiTheme="minorEastAsia" w:hAnsiTheme="minorEastAsia" w:eastAsiaTheme="minorEastAsia" w:cstheme="minorEastAsia"/>
          <w:szCs w:val="24"/>
        </w:rPr>
        <w:t>. 发包人</w:t>
      </w:r>
      <w:bookmarkEnd w:id="115"/>
    </w:p>
    <w:bookmarkEnd w:id="116"/>
    <w:bookmarkEnd w:id="117"/>
    <w:bookmarkEnd w:id="118"/>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120" w:name="_Toc19031"/>
      <w:r>
        <w:rPr>
          <w:rFonts w:hint="eastAsia" w:asciiTheme="minorEastAsia" w:hAnsiTheme="minorEastAsia" w:eastAsiaTheme="minorEastAsia" w:cstheme="minorEastAsia"/>
          <w:szCs w:val="24"/>
        </w:rPr>
        <w:t>2</w:t>
      </w:r>
      <w:bookmarkStart w:id="121" w:name="_Toc337558740"/>
      <w:bookmarkStart w:id="122" w:name="_Toc296503039"/>
      <w:bookmarkStart w:id="123" w:name="_Toc296346540"/>
      <w:r>
        <w:rPr>
          <w:rFonts w:hint="eastAsia" w:asciiTheme="minorEastAsia" w:hAnsiTheme="minorEastAsia" w:eastAsiaTheme="minorEastAsia" w:cstheme="minorEastAsia"/>
          <w:szCs w:val="24"/>
        </w:rPr>
        <w:t>.1 许可或批准</w:t>
      </w:r>
      <w:bookmarkEnd w:id="120"/>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因发包人原因未能及时办理完毕前述许可、批准或备案，由发包人承担由此增加的费用和（或）延误的工期，并支付承包人合理的利润。</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124" w:name="_Toc5655"/>
      <w:r>
        <w:rPr>
          <w:rFonts w:hint="eastAsia" w:asciiTheme="minorEastAsia" w:hAnsiTheme="minorEastAsia" w:eastAsiaTheme="minorEastAsia" w:cstheme="minorEastAsia"/>
          <w:szCs w:val="24"/>
        </w:rPr>
        <w:t>2.2 发包人代表</w:t>
      </w:r>
      <w:bookmarkEnd w:id="124"/>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发包人代表不能按照合同约定履行其职责及义务，并导致合同无法继续正常履行的，承包人可以要求发包人撤换发包人代表。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zCs w:val="24"/>
        </w:rPr>
        <w:t>不属于法定必须监理的工程，监理人的职权可以由发包人代表或发包人指定的其他人员行使。</w:t>
      </w:r>
    </w:p>
    <w:p>
      <w:pPr>
        <w:pStyle w:val="5"/>
        <w:bidi w:val="0"/>
        <w:spacing w:line="480" w:lineRule="exact"/>
        <w:ind w:firstLine="480" w:firstLineChars="200"/>
        <w:jc w:val="left"/>
        <w:rPr>
          <w:rFonts w:hint="eastAsia" w:asciiTheme="minorEastAsia" w:hAnsiTheme="minorEastAsia" w:eastAsiaTheme="minorEastAsia" w:cstheme="minorEastAsia"/>
          <w:szCs w:val="24"/>
        </w:rPr>
      </w:pPr>
      <w:bookmarkStart w:id="125" w:name="_Toc23888"/>
      <w:r>
        <w:rPr>
          <w:rFonts w:hint="eastAsia" w:asciiTheme="minorEastAsia" w:hAnsiTheme="minorEastAsia" w:eastAsiaTheme="minorEastAsia" w:cstheme="minorEastAsia"/>
          <w:szCs w:val="24"/>
        </w:rPr>
        <w:t>2.3 发包人人员</w:t>
      </w:r>
      <w:bookmarkEnd w:id="125"/>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发包人人员包括发包人代表及其他由发包人派驻施工现场的人员。</w:t>
      </w:r>
      <w:bookmarkEnd w:id="121"/>
      <w:bookmarkEnd w:id="122"/>
      <w:bookmarkEnd w:id="123"/>
    </w:p>
    <w:p>
      <w:pPr>
        <w:pStyle w:val="5"/>
        <w:pageBreakBefore w:val="0"/>
        <w:widowControl w:val="0"/>
        <w:kinsoku/>
        <w:wordWrap/>
        <w:overflowPunct/>
        <w:topLinePunct w:val="0"/>
        <w:bidi w:val="0"/>
        <w:spacing w:before="120" w:after="120" w:line="480" w:lineRule="exact"/>
        <w:ind w:firstLine="480" w:firstLineChars="200"/>
        <w:jc w:val="left"/>
        <w:outlineLvl w:val="2"/>
        <w:rPr>
          <w:rFonts w:hint="eastAsia" w:asciiTheme="minorEastAsia" w:hAnsiTheme="minorEastAsia" w:eastAsiaTheme="minorEastAsia" w:cstheme="minorEastAsia"/>
          <w:b/>
          <w:bCs w:val="0"/>
          <w:color w:val="000000"/>
          <w:sz w:val="24"/>
          <w:szCs w:val="24"/>
        </w:rPr>
      </w:pPr>
      <w:bookmarkStart w:id="126" w:name="_Toc29413"/>
      <w:r>
        <w:rPr>
          <w:rStyle w:val="77"/>
          <w:rFonts w:hint="eastAsia" w:asciiTheme="minorEastAsia" w:hAnsiTheme="minorEastAsia" w:eastAsiaTheme="minorEastAsia" w:cstheme="minorEastAsia"/>
          <w:b/>
          <w:bCs w:val="0"/>
          <w:sz w:val="24"/>
          <w:szCs w:val="24"/>
        </w:rPr>
        <w:t>2</w:t>
      </w:r>
      <w:bookmarkStart w:id="127" w:name="_Toc296503040"/>
      <w:bookmarkStart w:id="128" w:name="_Toc296346541"/>
      <w:bookmarkStart w:id="129" w:name="_Toc337558741"/>
      <w:r>
        <w:rPr>
          <w:rStyle w:val="77"/>
          <w:rFonts w:hint="eastAsia" w:asciiTheme="minorEastAsia" w:hAnsiTheme="minorEastAsia" w:eastAsiaTheme="minorEastAsia" w:cstheme="minorEastAsia"/>
          <w:b/>
          <w:bCs w:val="0"/>
          <w:sz w:val="24"/>
          <w:szCs w:val="24"/>
        </w:rPr>
        <w:t>.4 施工现场、施工条件和基础资料的提供</w:t>
      </w:r>
      <w:bookmarkEnd w:id="126"/>
      <w:r>
        <w:rPr>
          <w:rFonts w:hint="eastAsia" w:asciiTheme="minorEastAsia" w:hAnsiTheme="minorEastAsia" w:eastAsiaTheme="minorEastAsia" w:cstheme="minorEastAsia"/>
          <w:b/>
          <w:bCs w:val="0"/>
          <w:color w:val="000000"/>
          <w:sz w:val="24"/>
          <w:szCs w:val="24"/>
        </w:rPr>
        <w:t xml:space="preserve"> </w:t>
      </w:r>
      <w:bookmarkEnd w:id="127"/>
      <w:bookmarkEnd w:id="128"/>
      <w:bookmarkEnd w:id="129"/>
      <w:r>
        <w:rPr>
          <w:rFonts w:hint="eastAsia" w:asciiTheme="minorEastAsia" w:hAnsiTheme="minorEastAsia" w:eastAsiaTheme="minorEastAsia" w:cstheme="minorEastAsia"/>
          <w:b/>
          <w:bCs w:val="0"/>
          <w:color w:val="000000"/>
          <w:sz w:val="24"/>
          <w:szCs w:val="24"/>
        </w:rPr>
        <w:t xml:space="preserve">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2.4.1 提供施工现场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w:t>
      </w:r>
      <w:bookmarkEnd w:id="119"/>
      <w:r>
        <w:rPr>
          <w:rFonts w:hint="eastAsia" w:asciiTheme="minorEastAsia" w:hAnsiTheme="minorEastAsia" w:eastAsiaTheme="minorEastAsia" w:cstheme="minorEastAsia"/>
          <w:color w:val="000000"/>
          <w:kern w:val="0"/>
          <w:sz w:val="24"/>
          <w:szCs w:val="24"/>
        </w:rPr>
        <w:t>专用合同条款另有约定外，发包人应最迟于开工日期7天前向承包人移交施工现场。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2.4.2 提供施工条件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除专用合同条款另有约定外，发包人应负责提供施工所需要的条件，包括：</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（1）将施工用水、电力、通讯线路等施工所必需的条件接至施工现场内；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（2）保证向承包人提供正常施工所需要的进入施工现场的交通条件；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（3）协调处理施工现场周围地下管线和邻近建筑物、构筑物、古树名木的保护工作，并承担相关费用；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（4）按照专用合同条款约定应提供的其他设施和条件。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2.4.3 提供基础资料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按照法律规定确需在开工后方能提供的基础资料，发包人应尽其努力及时地在相应工程施工前的合理期限内提供，合理期限应以不影响承包人的正常施工为限。</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2.4.4 逾期提供的责任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因发包人原因未能按合同约定及时向承包人提供施工现场、施工条件、基础资料的，由发包人承担由此增加的费用和（或）延误的工期。</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30" w:name="_Toc28762"/>
      <w:r>
        <w:rPr>
          <w:rFonts w:hint="eastAsia" w:asciiTheme="minorEastAsia" w:hAnsiTheme="minorEastAsia" w:eastAsiaTheme="minorEastAsia" w:cstheme="minorEastAsia"/>
          <w:b/>
          <w:bCs/>
          <w:color w:val="000000"/>
          <w:szCs w:val="24"/>
        </w:rPr>
        <w:t>2</w:t>
      </w:r>
      <w:bookmarkStart w:id="131" w:name="_Toc296503042"/>
      <w:bookmarkStart w:id="132" w:name="_Toc296346543"/>
      <w:bookmarkStart w:id="133" w:name="_Toc337558745"/>
      <w:r>
        <w:rPr>
          <w:rFonts w:hint="eastAsia" w:asciiTheme="minorEastAsia" w:hAnsiTheme="minorEastAsia" w:eastAsiaTheme="minorEastAsia" w:cstheme="minorEastAsia"/>
          <w:b/>
          <w:bCs/>
          <w:color w:val="000000"/>
          <w:szCs w:val="24"/>
        </w:rPr>
        <w:t>.5 资</w:t>
      </w:r>
      <w:bookmarkEnd w:id="131"/>
      <w:bookmarkEnd w:id="132"/>
      <w:bookmarkEnd w:id="133"/>
      <w:r>
        <w:rPr>
          <w:rFonts w:hint="eastAsia" w:asciiTheme="minorEastAsia" w:hAnsiTheme="minorEastAsia" w:eastAsiaTheme="minorEastAsia" w:cstheme="minorEastAsia"/>
          <w:b/>
          <w:bCs/>
          <w:color w:val="000000"/>
          <w:szCs w:val="24"/>
        </w:rPr>
        <w:t>金来源证明及支付担保</w:t>
      </w:r>
      <w:bookmarkEnd w:id="130"/>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34" w:name="_Toc32148"/>
      <w:r>
        <w:rPr>
          <w:rFonts w:hint="eastAsia" w:asciiTheme="minorEastAsia" w:hAnsiTheme="minorEastAsia" w:eastAsiaTheme="minorEastAsia" w:cstheme="minorEastAsia"/>
          <w:b/>
          <w:bCs/>
          <w:color w:val="000000"/>
          <w:szCs w:val="24"/>
        </w:rPr>
        <w:t>2.6 支付合同价款</w:t>
      </w:r>
      <w:bookmarkEnd w:id="134"/>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发包人应按合同约定向承包人及时支付合同价款。</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35" w:name="_Toc17546"/>
      <w:r>
        <w:rPr>
          <w:rFonts w:hint="eastAsia" w:asciiTheme="minorEastAsia" w:hAnsiTheme="minorEastAsia" w:eastAsiaTheme="minorEastAsia" w:cstheme="minorEastAsia"/>
          <w:b/>
          <w:bCs/>
          <w:color w:val="000000"/>
          <w:szCs w:val="24"/>
        </w:rPr>
        <w:t>2.7 组织竣工验收</w:t>
      </w:r>
      <w:bookmarkEnd w:id="135"/>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发包人应按合同约定及时组织竣工验收。</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36" w:name="_Toc25961"/>
      <w:r>
        <w:rPr>
          <w:rFonts w:hint="eastAsia" w:asciiTheme="minorEastAsia" w:hAnsiTheme="minorEastAsia" w:eastAsiaTheme="minorEastAsia" w:cstheme="minorEastAsia"/>
          <w:b/>
          <w:bCs/>
          <w:color w:val="000000"/>
          <w:szCs w:val="24"/>
        </w:rPr>
        <w:t>2.8 现场统一管理协议</w:t>
      </w:r>
      <w:bookmarkEnd w:id="136"/>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发包人应与承包人、由发包人直接发包的专业工程的承包人签订施工现场统一管理协议，明确各方的权利义务。施工现场统一管理协议作为专用合同条款的附件。</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37" w:name="_Toc7285"/>
      <w:r>
        <w:rPr>
          <w:rFonts w:hint="eastAsia" w:asciiTheme="minorEastAsia" w:hAnsiTheme="minorEastAsia" w:eastAsiaTheme="minorEastAsia" w:cstheme="minorEastAsia"/>
          <w:b/>
          <w:bCs/>
          <w:color w:val="000000"/>
          <w:szCs w:val="24"/>
        </w:rPr>
        <w:t>3</w:t>
      </w:r>
      <w:bookmarkStart w:id="138" w:name="_Toc296346546"/>
      <w:bookmarkStart w:id="139" w:name="_Toc337558746"/>
      <w:bookmarkStart w:id="140" w:name="_Toc296503045"/>
      <w:r>
        <w:rPr>
          <w:rFonts w:hint="eastAsia" w:asciiTheme="minorEastAsia" w:hAnsiTheme="minorEastAsia" w:eastAsiaTheme="minorEastAsia" w:cstheme="minorEastAsia"/>
          <w:b/>
          <w:bCs/>
          <w:color w:val="000000"/>
          <w:szCs w:val="24"/>
        </w:rPr>
        <w:t>. 承包人</w:t>
      </w:r>
      <w:bookmarkEnd w:id="137"/>
    </w:p>
    <w:bookmarkEnd w:id="138"/>
    <w:bookmarkEnd w:id="139"/>
    <w:bookmarkEnd w:id="140"/>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41" w:name="_Toc31108"/>
      <w:r>
        <w:rPr>
          <w:rFonts w:hint="eastAsia" w:asciiTheme="minorEastAsia" w:hAnsiTheme="minorEastAsia" w:eastAsiaTheme="minorEastAsia" w:cstheme="minorEastAsia"/>
          <w:b/>
          <w:bCs/>
          <w:color w:val="000000"/>
          <w:szCs w:val="24"/>
        </w:rPr>
        <w:t>3</w:t>
      </w:r>
      <w:bookmarkStart w:id="142" w:name="_Toc296346547"/>
      <w:bookmarkStart w:id="143" w:name="_Toc337558747"/>
      <w:bookmarkStart w:id="144" w:name="_Toc296503046"/>
      <w:r>
        <w:rPr>
          <w:rFonts w:hint="eastAsia" w:asciiTheme="minorEastAsia" w:hAnsiTheme="minorEastAsia" w:eastAsiaTheme="minorEastAsia" w:cstheme="minorEastAsia"/>
          <w:b/>
          <w:bCs/>
          <w:color w:val="000000"/>
          <w:szCs w:val="24"/>
        </w:rPr>
        <w:t>.1 承包人的一般义务</w:t>
      </w:r>
      <w:bookmarkEnd w:id="141"/>
    </w:p>
    <w:bookmarkEnd w:id="142"/>
    <w:bookmarkEnd w:id="143"/>
    <w:bookmarkEnd w:id="144"/>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承包人在履行合同过程中应遵守法律和工程建设标准规范，并履行以下义务：</w:t>
      </w:r>
    </w:p>
    <w:p>
      <w:pPr>
        <w:pageBreakBefore w:val="0"/>
        <w:widowControl w:val="0"/>
        <w:numPr>
          <w:ilvl w:val="-1"/>
          <w:numId w:val="0"/>
        </w:numPr>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办理法律规定应由承包人办理的许可和批准，并将办理结果书面报送发包人留存；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（2）按法律规定和合同约定完成工程，并在保修期内承担保修义务；</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（3）按法律规定和合同约定采取施工安全和环境保护措施，办理工伤保险，确保工程及人员、材料、设备和设施的安全；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（4）按合同约定的工作内容和施工进度要求，编制施工组织设计和施工措施计划，并对所有施工作业和施工方法的完备性和安全可靠性负责；</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（6）按照第6.3款〔环境保护〕约定负责施工场地及其周边环境与生态的保护工作；</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（7）按第6.1款〔安全文明施工〕约定采取施工安全措施，确保工程及其人员、材料、设备和设施的安全，防止因工程施工造成的人身伤害和财产损失；</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（8）将发包人按合同约定支付的各项价款专用于合同工程，且应及时支付其雇用人员工资，并及时向分包人支付合同价款；</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（9）按照法律规定和合同约定编制竣工资料，完成竣工资料立卷及归档，并按专用合同条款约定的竣工资料的套数、内容、时间等要求移交发包人；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（10）应履行的其他义务。</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45" w:name="_Toc11827"/>
      <w:r>
        <w:rPr>
          <w:rFonts w:hint="eastAsia" w:asciiTheme="minorEastAsia" w:hAnsiTheme="minorEastAsia" w:eastAsiaTheme="minorEastAsia" w:cstheme="minorEastAsia"/>
          <w:b/>
          <w:bCs/>
          <w:color w:val="000000"/>
          <w:szCs w:val="24"/>
        </w:rPr>
        <w:t>3</w:t>
      </w:r>
      <w:bookmarkStart w:id="146" w:name="_Toc337558748"/>
      <w:bookmarkStart w:id="147" w:name="_Toc296346548"/>
      <w:bookmarkStart w:id="148" w:name="_Toc296503047"/>
      <w:r>
        <w:rPr>
          <w:rFonts w:hint="eastAsia" w:asciiTheme="minorEastAsia" w:hAnsiTheme="minorEastAsia" w:eastAsiaTheme="minorEastAsia" w:cstheme="minorEastAsia"/>
          <w:b/>
          <w:bCs/>
          <w:color w:val="000000"/>
          <w:szCs w:val="24"/>
        </w:rPr>
        <w:t>.2 项目经理</w:t>
      </w:r>
      <w:bookmarkEnd w:id="145"/>
    </w:p>
    <w:bookmarkEnd w:id="146"/>
    <w:bookmarkEnd w:id="147"/>
    <w:bookmarkEnd w:id="148"/>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承包人违反上述约定的，应按照专用合同条款的约定，承担违约责任。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49" w:name="_Toc30022"/>
      <w:r>
        <w:rPr>
          <w:rFonts w:hint="eastAsia" w:asciiTheme="minorEastAsia" w:hAnsiTheme="minorEastAsia" w:eastAsiaTheme="minorEastAsia" w:cstheme="minorEastAsia"/>
          <w:b/>
          <w:bCs/>
          <w:color w:val="000000"/>
          <w:szCs w:val="24"/>
        </w:rPr>
        <w:t>3</w:t>
      </w:r>
      <w:bookmarkStart w:id="150" w:name="_Toc296346549"/>
      <w:bookmarkStart w:id="151" w:name="_Toc296503048"/>
      <w:bookmarkStart w:id="152" w:name="_Toc337558749"/>
      <w:r>
        <w:rPr>
          <w:rFonts w:hint="eastAsia" w:asciiTheme="minorEastAsia" w:hAnsiTheme="minorEastAsia" w:eastAsiaTheme="minorEastAsia" w:cstheme="minorEastAsia"/>
          <w:b/>
          <w:bCs/>
          <w:color w:val="000000"/>
          <w:szCs w:val="24"/>
        </w:rPr>
        <w:t xml:space="preserve">.3 </w:t>
      </w:r>
      <w:bookmarkEnd w:id="150"/>
      <w:bookmarkEnd w:id="151"/>
      <w:r>
        <w:rPr>
          <w:rFonts w:hint="eastAsia" w:asciiTheme="minorEastAsia" w:hAnsiTheme="minorEastAsia" w:eastAsiaTheme="minorEastAsia" w:cstheme="minorEastAsia"/>
          <w:b/>
          <w:bCs/>
          <w:color w:val="000000"/>
          <w:szCs w:val="24"/>
        </w:rPr>
        <w:t>承包人人员</w:t>
      </w:r>
      <w:bookmarkEnd w:id="149"/>
    </w:p>
    <w:bookmarkEnd w:id="152"/>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特殊工种作业人员均应持有相应的资格证明，监理人可以随时检查。</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3.3.5 承包人擅自更换主要施工管理人员，或前述人员未经监理人或发包人同意擅自离开施工现场的，应按照专用合同条款约定承担违约责任。</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53" w:name="_Toc22169"/>
      <w:r>
        <w:rPr>
          <w:rFonts w:hint="eastAsia" w:asciiTheme="minorEastAsia" w:hAnsiTheme="minorEastAsia" w:eastAsiaTheme="minorEastAsia" w:cstheme="minorEastAsia"/>
          <w:b/>
          <w:bCs/>
          <w:color w:val="000000"/>
          <w:szCs w:val="24"/>
        </w:rPr>
        <w:t>3</w:t>
      </w:r>
      <w:bookmarkStart w:id="154" w:name="_Toc296503050"/>
      <w:bookmarkStart w:id="155" w:name="_Toc296346551"/>
      <w:bookmarkStart w:id="156" w:name="_Toc337558750"/>
      <w:r>
        <w:rPr>
          <w:rFonts w:hint="eastAsia" w:asciiTheme="minorEastAsia" w:hAnsiTheme="minorEastAsia" w:eastAsiaTheme="minorEastAsia" w:cstheme="minorEastAsia"/>
          <w:b/>
          <w:bCs/>
          <w:color w:val="000000"/>
          <w:szCs w:val="24"/>
        </w:rPr>
        <w:t>.4 承包人现场查勘</w:t>
      </w:r>
      <w:bookmarkEnd w:id="153"/>
    </w:p>
    <w:bookmarkEnd w:id="154"/>
    <w:bookmarkEnd w:id="155"/>
    <w:bookmarkEnd w:id="156"/>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57" w:name="_Toc7464"/>
      <w:r>
        <w:rPr>
          <w:rFonts w:hint="eastAsia" w:asciiTheme="minorEastAsia" w:hAnsiTheme="minorEastAsia" w:eastAsiaTheme="minorEastAsia" w:cstheme="minorEastAsia"/>
          <w:b/>
          <w:bCs/>
          <w:color w:val="000000"/>
          <w:szCs w:val="24"/>
        </w:rPr>
        <w:t>3</w:t>
      </w:r>
      <w:bookmarkStart w:id="158" w:name="_Toc296346552"/>
      <w:bookmarkStart w:id="159" w:name="_Toc296503051"/>
      <w:bookmarkStart w:id="160" w:name="_Toc337558751"/>
      <w:r>
        <w:rPr>
          <w:rFonts w:hint="eastAsia" w:asciiTheme="minorEastAsia" w:hAnsiTheme="minorEastAsia" w:eastAsiaTheme="minorEastAsia" w:cstheme="minorEastAsia"/>
          <w:b/>
          <w:bCs/>
          <w:color w:val="000000"/>
          <w:szCs w:val="24"/>
        </w:rPr>
        <w:t>.5 分包</w:t>
      </w:r>
      <w:bookmarkEnd w:id="157"/>
    </w:p>
    <w:bookmarkEnd w:id="158"/>
    <w:bookmarkEnd w:id="159"/>
    <w:bookmarkEnd w:id="160"/>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3.5.1 分包的一般约定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承包人不得以劳务分包的名义转包或违法分包工程。</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3.5.2 分包的确定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 分包管理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承包人应向监理人提交分包人的主要施工管理人员表，并对分包人的施工人员进行实名制管理，包括但不限于进出场管理、登记造册以及各种证照的办理。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3.5.4 分包合同价款</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（1）除本项第（2）目约定的情况或专用合同条款另有约定外，分包合同价款由承包人与分包人结算，未经承包人同意，发包人不得向分包人支付分包工程价款；</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（2）生效法律文书要求发包人向分包人支付分包合同价款的，发包人有权从应付承包人工程款中扣除该部分款项。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3.5.5 分包合同权益的转让</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61" w:name="_Toc8022"/>
      <w:r>
        <w:rPr>
          <w:rFonts w:hint="eastAsia" w:asciiTheme="minorEastAsia" w:hAnsiTheme="minorEastAsia" w:eastAsiaTheme="minorEastAsia" w:cstheme="minorEastAsia"/>
          <w:b/>
          <w:bCs/>
          <w:color w:val="000000"/>
          <w:szCs w:val="24"/>
        </w:rPr>
        <w:t>3.6 工程照管与成品、半成品保护</w:t>
      </w:r>
      <w:bookmarkEnd w:id="161"/>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（1）除专用合同条款另有约定外，自发包人向承包人移交施工现场之日起，承包人应负责照管工程及工程相关的材料、工程设备，直到颁发工程接收证书之日止。</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（2）在承包人负责照管期间，因承包人原因造成工程、材料、工程设备损坏的，由承包人负责修复或更换，并承担由此增加的费用和（或）延误的工期。</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62" w:name="_Toc5865"/>
      <w:r>
        <w:rPr>
          <w:rFonts w:hint="eastAsia" w:asciiTheme="minorEastAsia" w:hAnsiTheme="minorEastAsia" w:eastAsiaTheme="minorEastAsia" w:cstheme="minorEastAsia"/>
          <w:b/>
          <w:bCs/>
          <w:color w:val="000000"/>
          <w:szCs w:val="24"/>
        </w:rPr>
        <w:t>3</w:t>
      </w:r>
      <w:bookmarkStart w:id="163" w:name="_Toc337558752"/>
      <w:bookmarkStart w:id="164" w:name="_Toc296503052"/>
      <w:bookmarkStart w:id="165" w:name="_Toc296346553"/>
      <w:r>
        <w:rPr>
          <w:rFonts w:hint="eastAsia" w:asciiTheme="minorEastAsia" w:hAnsiTheme="minorEastAsia" w:eastAsiaTheme="minorEastAsia" w:cstheme="minorEastAsia"/>
          <w:b/>
          <w:bCs/>
          <w:color w:val="000000"/>
          <w:szCs w:val="24"/>
        </w:rPr>
        <w:t>.7 履约担保</w:t>
      </w:r>
      <w:bookmarkEnd w:id="162"/>
    </w:p>
    <w:bookmarkEnd w:id="163"/>
    <w:bookmarkEnd w:id="164"/>
    <w:bookmarkEnd w:id="165"/>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因承包人原因导致工期延长的，继续提供履约担保所增加的费用由承包人承担；非因承包人原因导致工期延长的，继续提供履约担保所增加的费用由发包人承担。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66" w:name="_Toc30413"/>
      <w:r>
        <w:rPr>
          <w:rFonts w:hint="eastAsia" w:asciiTheme="minorEastAsia" w:hAnsiTheme="minorEastAsia" w:eastAsiaTheme="minorEastAsia" w:cstheme="minorEastAsia"/>
          <w:b/>
          <w:bCs/>
          <w:color w:val="000000"/>
          <w:szCs w:val="24"/>
        </w:rPr>
        <w:t>3.8 联合体</w:t>
      </w:r>
      <w:bookmarkEnd w:id="166"/>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3.8.1 联合体各方应共同与发包人签订合同协议书。联合体各方应为履行合同向发包人承担连带责任。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3.8.2 联合体协议经发包人确认后作为合同附件。在履行合同过程中，未经发包人同意，不得修改联合体协议。</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3.8.3 联合体牵头人负责与发包人和监理人联系，并接受指示，负责组织联合体各成员全面履行合同。</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67" w:name="_Toc120"/>
      <w:r>
        <w:rPr>
          <w:rFonts w:hint="eastAsia" w:asciiTheme="minorEastAsia" w:hAnsiTheme="minorEastAsia" w:eastAsiaTheme="minorEastAsia" w:cstheme="minorEastAsia"/>
          <w:b/>
          <w:bCs/>
          <w:color w:val="000000"/>
          <w:szCs w:val="24"/>
        </w:rPr>
        <w:t>4</w:t>
      </w:r>
      <w:bookmarkStart w:id="168" w:name="_Toc296346554"/>
      <w:bookmarkStart w:id="169" w:name="_Toc296503053"/>
      <w:bookmarkStart w:id="170" w:name="_Toc337558753"/>
      <w:r>
        <w:rPr>
          <w:rFonts w:hint="eastAsia" w:asciiTheme="minorEastAsia" w:hAnsiTheme="minorEastAsia" w:eastAsiaTheme="minorEastAsia" w:cstheme="minorEastAsia"/>
          <w:b/>
          <w:bCs/>
          <w:color w:val="000000"/>
          <w:szCs w:val="24"/>
        </w:rPr>
        <w:t>. 监</w:t>
      </w:r>
      <w:bookmarkEnd w:id="168"/>
      <w:bookmarkEnd w:id="169"/>
      <w:r>
        <w:rPr>
          <w:rFonts w:hint="eastAsia" w:asciiTheme="minorEastAsia" w:hAnsiTheme="minorEastAsia" w:eastAsiaTheme="minorEastAsia" w:cstheme="minorEastAsia"/>
          <w:b/>
          <w:bCs/>
          <w:color w:val="000000"/>
          <w:szCs w:val="24"/>
        </w:rPr>
        <w:t>理人</w:t>
      </w:r>
      <w:bookmarkEnd w:id="167"/>
    </w:p>
    <w:bookmarkEnd w:id="170"/>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71" w:name="_Toc12258"/>
      <w:r>
        <w:rPr>
          <w:rFonts w:hint="eastAsia" w:asciiTheme="minorEastAsia" w:hAnsiTheme="minorEastAsia" w:eastAsiaTheme="minorEastAsia" w:cstheme="minorEastAsia"/>
          <w:b/>
          <w:bCs/>
          <w:color w:val="000000"/>
          <w:szCs w:val="24"/>
        </w:rPr>
        <w:t>4</w:t>
      </w:r>
      <w:bookmarkStart w:id="172" w:name="_Toc296503054"/>
      <w:bookmarkStart w:id="173" w:name="_Toc337558754"/>
      <w:bookmarkStart w:id="174" w:name="_Toc296346555"/>
      <w:r>
        <w:rPr>
          <w:rFonts w:hint="eastAsia" w:asciiTheme="minorEastAsia" w:hAnsiTheme="minorEastAsia" w:eastAsiaTheme="minorEastAsia" w:cstheme="minorEastAsia"/>
          <w:b/>
          <w:bCs/>
          <w:color w:val="000000"/>
          <w:szCs w:val="24"/>
        </w:rPr>
        <w:t>.1监理人的一般规定</w:t>
      </w:r>
      <w:bookmarkEnd w:id="171"/>
    </w:p>
    <w:bookmarkEnd w:id="172"/>
    <w:bookmarkEnd w:id="173"/>
    <w:bookmarkEnd w:id="174"/>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除专用合同条款另有约定外，监理人在施工现场的办公场所、生活场所由承包人提供，所发生的费用由发包人承担。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75" w:name="_Toc8980"/>
      <w:r>
        <w:rPr>
          <w:rFonts w:hint="eastAsia" w:asciiTheme="minorEastAsia" w:hAnsiTheme="minorEastAsia" w:eastAsiaTheme="minorEastAsia" w:cstheme="minorEastAsia"/>
          <w:b/>
          <w:bCs/>
          <w:color w:val="000000"/>
          <w:szCs w:val="24"/>
        </w:rPr>
        <w:t>4</w:t>
      </w:r>
      <w:bookmarkStart w:id="176" w:name="_Toc337558755"/>
      <w:r>
        <w:rPr>
          <w:rFonts w:hint="eastAsia" w:asciiTheme="minorEastAsia" w:hAnsiTheme="minorEastAsia" w:eastAsiaTheme="minorEastAsia" w:cstheme="minorEastAsia"/>
          <w:b/>
          <w:bCs/>
          <w:color w:val="000000"/>
          <w:szCs w:val="24"/>
        </w:rPr>
        <w:t>.2监理人员</w:t>
      </w:r>
      <w:bookmarkEnd w:id="175"/>
    </w:p>
    <w:bookmarkEnd w:id="176"/>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77" w:name="_Toc20761"/>
      <w:r>
        <w:rPr>
          <w:rFonts w:hint="eastAsia" w:asciiTheme="minorEastAsia" w:hAnsiTheme="minorEastAsia" w:eastAsiaTheme="minorEastAsia" w:cstheme="minorEastAsia"/>
          <w:b/>
          <w:bCs/>
          <w:color w:val="000000"/>
          <w:szCs w:val="24"/>
        </w:rPr>
        <w:t>4</w:t>
      </w:r>
      <w:bookmarkStart w:id="178" w:name="_Toc296346556"/>
      <w:bookmarkStart w:id="179" w:name="_Toc296503055"/>
      <w:bookmarkStart w:id="180" w:name="_Toc337558756"/>
      <w:r>
        <w:rPr>
          <w:rFonts w:hint="eastAsia" w:asciiTheme="minorEastAsia" w:hAnsiTheme="minorEastAsia" w:eastAsiaTheme="minorEastAsia" w:cstheme="minorEastAsia"/>
          <w:b/>
          <w:bCs/>
          <w:color w:val="000000"/>
          <w:szCs w:val="24"/>
        </w:rPr>
        <w:t>.3</w:t>
      </w:r>
      <w:bookmarkEnd w:id="178"/>
      <w:bookmarkEnd w:id="179"/>
      <w:r>
        <w:rPr>
          <w:rFonts w:hint="eastAsia" w:asciiTheme="minorEastAsia" w:hAnsiTheme="minorEastAsia" w:eastAsiaTheme="minorEastAsia" w:cstheme="minorEastAsia"/>
          <w:b/>
          <w:bCs/>
          <w:color w:val="000000"/>
          <w:szCs w:val="24"/>
        </w:rPr>
        <w:t>监理人的指</w:t>
      </w:r>
      <w:bookmarkEnd w:id="180"/>
      <w:r>
        <w:rPr>
          <w:rFonts w:hint="eastAsia" w:asciiTheme="minorEastAsia" w:hAnsiTheme="minorEastAsia" w:eastAsiaTheme="minorEastAsia" w:cstheme="minorEastAsia"/>
          <w:b/>
          <w:bCs/>
          <w:color w:val="000000"/>
          <w:szCs w:val="24"/>
        </w:rPr>
        <w:t>示</w:t>
      </w:r>
      <w:bookmarkEnd w:id="177"/>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81" w:name="_Toc19567"/>
      <w:r>
        <w:rPr>
          <w:rFonts w:hint="eastAsia" w:asciiTheme="minorEastAsia" w:hAnsiTheme="minorEastAsia" w:eastAsiaTheme="minorEastAsia" w:cstheme="minorEastAsia"/>
          <w:b/>
          <w:bCs/>
          <w:color w:val="000000"/>
          <w:szCs w:val="24"/>
        </w:rPr>
        <w:t>4</w:t>
      </w:r>
      <w:bookmarkStart w:id="182" w:name="_Toc337558757"/>
      <w:bookmarkStart w:id="183" w:name="_Toc296346558"/>
      <w:bookmarkStart w:id="184" w:name="_Toc296503057"/>
      <w:r>
        <w:rPr>
          <w:rFonts w:hint="eastAsia" w:asciiTheme="minorEastAsia" w:hAnsiTheme="minorEastAsia" w:eastAsiaTheme="minorEastAsia" w:cstheme="minorEastAsia"/>
          <w:b/>
          <w:bCs/>
          <w:color w:val="000000"/>
          <w:szCs w:val="24"/>
        </w:rPr>
        <w:t>.4 商定或确定</w:t>
      </w:r>
      <w:bookmarkEnd w:id="181"/>
    </w:p>
    <w:bookmarkEnd w:id="182"/>
    <w:bookmarkEnd w:id="183"/>
    <w:bookmarkEnd w:id="184"/>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合同当事人进行商定或确定时，总监理工程师应当会同合同当事人尽量通过协商达成一致，不能达成一致的，由总监理工程师按照合同约定审慎做出公正的确定。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85" w:name="_Toc13743"/>
      <w:r>
        <w:rPr>
          <w:rFonts w:hint="eastAsia" w:asciiTheme="minorEastAsia" w:hAnsiTheme="minorEastAsia" w:eastAsiaTheme="minorEastAsia" w:cstheme="minorEastAsia"/>
          <w:b/>
          <w:bCs/>
          <w:color w:val="000000"/>
          <w:szCs w:val="24"/>
        </w:rPr>
        <w:t>5</w:t>
      </w:r>
      <w:bookmarkStart w:id="186" w:name="_Toc337558758"/>
      <w:r>
        <w:rPr>
          <w:rFonts w:hint="eastAsia" w:asciiTheme="minorEastAsia" w:hAnsiTheme="minorEastAsia" w:eastAsiaTheme="minorEastAsia" w:cstheme="minorEastAsia"/>
          <w:b/>
          <w:bCs/>
          <w:color w:val="000000"/>
          <w:szCs w:val="24"/>
        </w:rPr>
        <w:t>. 工程质量</w:t>
      </w:r>
      <w:bookmarkEnd w:id="185"/>
    </w:p>
    <w:bookmarkEnd w:id="186"/>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87" w:name="_Toc26070"/>
      <w:r>
        <w:rPr>
          <w:rFonts w:hint="eastAsia" w:asciiTheme="minorEastAsia" w:hAnsiTheme="minorEastAsia" w:eastAsiaTheme="minorEastAsia" w:cstheme="minorEastAsia"/>
          <w:b/>
          <w:bCs/>
          <w:color w:val="000000"/>
          <w:szCs w:val="24"/>
        </w:rPr>
        <w:t>5</w:t>
      </w:r>
      <w:bookmarkStart w:id="188" w:name="_Toc337558759"/>
      <w:r>
        <w:rPr>
          <w:rFonts w:hint="eastAsia" w:asciiTheme="minorEastAsia" w:hAnsiTheme="minorEastAsia" w:eastAsiaTheme="minorEastAsia" w:cstheme="minorEastAsia"/>
          <w:b/>
          <w:bCs/>
          <w:color w:val="000000"/>
          <w:szCs w:val="24"/>
        </w:rPr>
        <w:t>.1质量要求</w:t>
      </w:r>
      <w:bookmarkEnd w:id="187"/>
    </w:p>
    <w:bookmarkEnd w:id="188"/>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5.1.1 工程质量标准必须符合现行国家有关工程施工质量验收规范和标准的要求。有关工程质量的特殊标准或要求由合同当事人在专用合同条款中约定。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5.1.2 因发包人原因造成工程质量未达到合同约定标准的，由发包人承担由此增加的费用和（或）延误的工期，并支付承包人合理的利润。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89" w:name="_Toc22690"/>
      <w:r>
        <w:rPr>
          <w:rFonts w:hint="eastAsia" w:asciiTheme="minorEastAsia" w:hAnsiTheme="minorEastAsia" w:eastAsiaTheme="minorEastAsia" w:cstheme="minorEastAsia"/>
          <w:b/>
          <w:bCs/>
          <w:color w:val="000000"/>
          <w:szCs w:val="24"/>
        </w:rPr>
        <w:t>5</w:t>
      </w:r>
      <w:bookmarkStart w:id="190" w:name="_Toc337558760"/>
      <w:r>
        <w:rPr>
          <w:rFonts w:hint="eastAsia" w:asciiTheme="minorEastAsia" w:hAnsiTheme="minorEastAsia" w:eastAsiaTheme="minorEastAsia" w:cstheme="minorEastAsia"/>
          <w:b/>
          <w:bCs/>
          <w:color w:val="000000"/>
          <w:szCs w:val="24"/>
        </w:rPr>
        <w:t>.2质量保证措施</w:t>
      </w:r>
      <w:bookmarkEnd w:id="189"/>
    </w:p>
    <w:bookmarkEnd w:id="190"/>
    <w:p>
      <w:pPr>
        <w:pageBreakBefore w:val="0"/>
        <w:widowControl w:val="0"/>
        <w:kinsoku/>
        <w:wordWrap/>
        <w:overflowPunct/>
        <w:topLinePunct w:val="0"/>
        <w:autoSpaceDE w:val="0"/>
        <w:autoSpaceDN w:val="0"/>
        <w:bidi w:val="0"/>
        <w:adjustRightInd w:val="0"/>
        <w:spacing w:line="480" w:lineRule="exact"/>
        <w:ind w:firstLine="480" w:firstLineChars="200"/>
        <w:jc w:val="left"/>
        <w:outlineLvl w:val="9"/>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5.2.1 发包人的质量管理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发包人应按照法律规定及合同约定完成与工程质量有关的各项工作。</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5.2.2 承包人的质量管理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承包人应对施工人员进行质量教育和技术培训，定期考核施工人员的劳动技能，严格执行施工规范和操作规程。</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ageBreakBefore w:val="0"/>
        <w:widowControl w:val="0"/>
        <w:kinsoku/>
        <w:wordWrap/>
        <w:overflowPunct/>
        <w:topLinePunct w:val="0"/>
        <w:autoSpaceDE w:val="0"/>
        <w:autoSpaceDN w:val="0"/>
        <w:bidi w:val="0"/>
        <w:adjustRightInd w:val="0"/>
        <w:spacing w:line="480" w:lineRule="exact"/>
        <w:ind w:firstLine="480" w:firstLineChars="200"/>
        <w:jc w:val="left"/>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5.2.3 监理人的质量检查和检验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91" w:name="_Toc25002"/>
      <w:r>
        <w:rPr>
          <w:rFonts w:hint="eastAsia" w:asciiTheme="minorEastAsia" w:hAnsiTheme="minorEastAsia" w:eastAsiaTheme="minorEastAsia" w:cstheme="minorEastAsia"/>
          <w:b/>
          <w:bCs/>
          <w:color w:val="000000"/>
          <w:szCs w:val="24"/>
        </w:rPr>
        <w:t>5</w:t>
      </w:r>
      <w:bookmarkStart w:id="192" w:name="_Toc337558761"/>
      <w:r>
        <w:rPr>
          <w:rFonts w:hint="eastAsia" w:asciiTheme="minorEastAsia" w:hAnsiTheme="minorEastAsia" w:eastAsiaTheme="minorEastAsia" w:cstheme="minorEastAsia"/>
          <w:b/>
          <w:bCs/>
          <w:color w:val="000000"/>
          <w:szCs w:val="24"/>
        </w:rPr>
        <w:t>.3 隐蔽工程检查</w:t>
      </w:r>
      <w:bookmarkEnd w:id="191"/>
    </w:p>
    <w:bookmarkEnd w:id="192"/>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5.3.1承包人自检</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承包人应当对工程隐蔽部位进行自检，并经自检确认是否具备覆盖条件。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5.3.2检查程序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5.3.3 重新检查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5.3.4 承包人私自覆盖</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93" w:name="_Toc8380"/>
      <w:r>
        <w:rPr>
          <w:rFonts w:hint="eastAsia" w:asciiTheme="minorEastAsia" w:hAnsiTheme="minorEastAsia" w:eastAsiaTheme="minorEastAsia" w:cstheme="minorEastAsia"/>
          <w:b/>
          <w:bCs/>
          <w:color w:val="000000"/>
          <w:szCs w:val="24"/>
        </w:rPr>
        <w:t>5</w:t>
      </w:r>
      <w:bookmarkStart w:id="194" w:name="_Toc337558762"/>
      <w:r>
        <w:rPr>
          <w:rFonts w:hint="eastAsia" w:asciiTheme="minorEastAsia" w:hAnsiTheme="minorEastAsia" w:eastAsiaTheme="minorEastAsia" w:cstheme="minorEastAsia"/>
          <w:b/>
          <w:bCs/>
          <w:color w:val="000000"/>
          <w:szCs w:val="24"/>
        </w:rPr>
        <w:t>.4不合格工程的处理</w:t>
      </w:r>
      <w:bookmarkEnd w:id="193"/>
    </w:p>
    <w:bookmarkEnd w:id="194"/>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5.4.2 因发包人原因造成工程不合格的，由此增加的费用和（或）延误的工期由发包人承担，并支付承包人合理的利润。</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195" w:name="_Toc6585"/>
      <w:r>
        <w:rPr>
          <w:rFonts w:hint="eastAsia" w:asciiTheme="minorEastAsia" w:hAnsiTheme="minorEastAsia" w:eastAsiaTheme="minorEastAsia" w:cstheme="minorEastAsia"/>
          <w:color w:val="000000"/>
          <w:szCs w:val="24"/>
        </w:rPr>
        <w:t>5.5 质量争议检测</w:t>
      </w:r>
      <w:bookmarkEnd w:id="195"/>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合同当事人对工程质量有争议的，由双方协商确定的工程质量检测机构鉴定，由此产生的费用及因此造成的损失，由责任方承担。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合同当事人均有责任的，由双方根据其责任分别承担。合同当事人无法达成一致的，按照第4.4款〔商定或确定〕执行。</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96" w:name="_Toc32278"/>
      <w:r>
        <w:rPr>
          <w:rFonts w:hint="eastAsia" w:asciiTheme="minorEastAsia" w:hAnsiTheme="minorEastAsia" w:eastAsiaTheme="minorEastAsia" w:cstheme="minorEastAsia"/>
          <w:b/>
          <w:bCs/>
          <w:color w:val="000000"/>
          <w:szCs w:val="24"/>
        </w:rPr>
        <w:t>6</w:t>
      </w:r>
      <w:bookmarkStart w:id="197" w:name="_Toc337558763"/>
      <w:r>
        <w:rPr>
          <w:rFonts w:hint="eastAsia" w:asciiTheme="minorEastAsia" w:hAnsiTheme="minorEastAsia" w:eastAsiaTheme="minorEastAsia" w:cstheme="minorEastAsia"/>
          <w:b/>
          <w:bCs/>
          <w:color w:val="000000"/>
          <w:szCs w:val="24"/>
        </w:rPr>
        <w:t>. 安全文明施工与环境保护</w:t>
      </w:r>
      <w:bookmarkEnd w:id="196"/>
    </w:p>
    <w:bookmarkEnd w:id="197"/>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198" w:name="_Toc19761"/>
      <w:r>
        <w:rPr>
          <w:rFonts w:hint="eastAsia" w:asciiTheme="minorEastAsia" w:hAnsiTheme="minorEastAsia" w:eastAsiaTheme="minorEastAsia" w:cstheme="minorEastAsia"/>
          <w:b/>
          <w:bCs/>
          <w:color w:val="000000"/>
          <w:szCs w:val="24"/>
        </w:rPr>
        <w:t>6</w:t>
      </w:r>
      <w:bookmarkStart w:id="199" w:name="_Toc337558764"/>
      <w:r>
        <w:rPr>
          <w:rFonts w:hint="eastAsia" w:asciiTheme="minorEastAsia" w:hAnsiTheme="minorEastAsia" w:eastAsiaTheme="minorEastAsia" w:cstheme="minorEastAsia"/>
          <w:b/>
          <w:bCs/>
          <w:color w:val="000000"/>
          <w:szCs w:val="24"/>
        </w:rPr>
        <w:t>.1安全文明施工</w:t>
      </w:r>
      <w:bookmarkEnd w:id="198"/>
    </w:p>
    <w:bookmarkEnd w:id="199"/>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6.1.1安全生产要求</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Theme="minorEastAsia" w:hAnsiTheme="minorEastAsia" w:eastAsiaTheme="minorEastAsia" w:cstheme="minorEastAsia"/>
          <w:color w:val="000000"/>
          <w:kern w:val="0"/>
          <w:sz w:val="24"/>
          <w:szCs w:val="24"/>
        </w:rPr>
        <w:t>政府有关行政管理部门</w:t>
      </w:r>
      <w:r>
        <w:rPr>
          <w:rFonts w:hint="eastAsia" w:asciiTheme="minorEastAsia" w:hAnsiTheme="minorEastAsia" w:eastAsiaTheme="minorEastAsia" w:cstheme="minorEastAsia"/>
          <w:color w:val="000000"/>
          <w:sz w:val="24"/>
          <w:szCs w:val="24"/>
        </w:rPr>
        <w:t>采取应急措施。</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因安全生产需要暂停施工的，按照第7.8款〔暂停施工〕的约定执行。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6.1.2 安全生产保证措施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承包人应当按照有关</w:t>
      </w:r>
      <w:r>
        <w:rPr>
          <w:rFonts w:hint="eastAsia" w:asciiTheme="minorEastAsia" w:hAnsiTheme="minorEastAsia" w:eastAsiaTheme="minorEastAsia" w:cstheme="minorEastAsia"/>
          <w:color w:val="000000"/>
          <w:kern w:val="0"/>
          <w:sz w:val="24"/>
          <w:szCs w:val="24"/>
        </w:rPr>
        <w:t>规定编制安全技术措施或者专项施工方案，</w:t>
      </w:r>
      <w:r>
        <w:rPr>
          <w:rFonts w:hint="eastAsia" w:asciiTheme="minorEastAsia" w:hAnsiTheme="minorEastAsia" w:eastAsiaTheme="minorEastAsia" w:cstheme="minorEastAsia"/>
          <w:color w:val="000000"/>
          <w:sz w:val="24"/>
          <w:szCs w:val="24"/>
        </w:rPr>
        <w:t>建立安全生产责任制度、治安保卫制度及安全生产教育培训制度，并</w:t>
      </w:r>
      <w:r>
        <w:rPr>
          <w:rFonts w:hint="eastAsia" w:asciiTheme="minorEastAsia" w:hAnsiTheme="minorEastAsia" w:eastAsiaTheme="minorEastAsia" w:cstheme="minorEastAsia"/>
          <w:color w:val="000000"/>
          <w:kern w:val="0"/>
          <w:sz w:val="24"/>
          <w:szCs w:val="24"/>
        </w:rPr>
        <w:t>按安全生产法律规定及合同约定履行安全职责，如实</w:t>
      </w:r>
      <w:r>
        <w:rPr>
          <w:rFonts w:hint="eastAsia" w:asciiTheme="minorEastAsia" w:hAnsiTheme="minorEastAsia" w:eastAsiaTheme="minorEastAsia" w:cstheme="minorEastAsia"/>
          <w:color w:val="000000"/>
          <w:sz w:val="24"/>
          <w:szCs w:val="24"/>
        </w:rPr>
        <w:t>编制工程安全生产的有关记录，</w:t>
      </w:r>
      <w:r>
        <w:rPr>
          <w:rFonts w:hint="eastAsia" w:asciiTheme="minorEastAsia" w:hAnsiTheme="minorEastAsia" w:eastAsiaTheme="minorEastAsia" w:cstheme="minorEastAsia"/>
          <w:color w:val="000000"/>
          <w:kern w:val="0"/>
          <w:sz w:val="24"/>
          <w:szCs w:val="24"/>
        </w:rPr>
        <w:t>接受发包人、监理人及政府安全监督部门的检查与监督。</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6.1.3特别安全生产事项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需单独编制危险性较大分部分项专项工程施工方案的，及要求进行专家论证的超过一定规模的危险性较大的分部分项工程，承包人应及时编制和组织论证。</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6.1.4 治安保卫</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除专用合同条款另有约定外，发包人应与当地公安部门协商，在现场建立治安管理机构或联防组织，统一管理施工场地的治安保卫事项，履行合同工程的治安保卫职责。</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发包人和承包人除应协助现场治安管理机构或联防组织维护施工场地的社会治安外，还应做好包括生活区在内的各自管辖区的治安保卫工作。</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6.1.5 文明施工</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6.1.6 安全文明施工费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6.1.7 紧急情况处理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6.1.8 事故处理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 安全生产责任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6.1.9.1 发包人的安全责任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发包人应负责赔偿以下各种情况造成的损失：</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（1）工程或工程的任何部分对土地的占用所造成的第三者财产损失；</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（2）由于发包人原因在施工场地及其毗邻地带造成的第三者人身伤亡和财产损失；</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（3）由于发包人原因对承包人、监理人造成的人员人身伤亡和财产损失；</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（4）由于发包人原因造成的发包人自身人员的人身伤害以及财产损失。</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6.1.9.2 承包人的安全责任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由于承包人原因在施工场地内及其毗邻地带造成的发包人、监理人以及第三者人员伤亡和财产损失，由承包人负责赔偿。</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00" w:name="_Toc27835"/>
      <w:r>
        <w:rPr>
          <w:rFonts w:hint="eastAsia" w:asciiTheme="minorEastAsia" w:hAnsiTheme="minorEastAsia" w:eastAsiaTheme="minorEastAsia" w:cstheme="minorEastAsia"/>
          <w:b/>
          <w:bCs/>
          <w:color w:val="000000"/>
          <w:szCs w:val="24"/>
        </w:rPr>
        <w:t>6</w:t>
      </w:r>
      <w:bookmarkStart w:id="201" w:name="_Toc337558765"/>
      <w:r>
        <w:rPr>
          <w:rFonts w:hint="eastAsia" w:asciiTheme="minorEastAsia" w:hAnsiTheme="minorEastAsia" w:eastAsiaTheme="minorEastAsia" w:cstheme="minorEastAsia"/>
          <w:b/>
          <w:bCs/>
          <w:color w:val="000000"/>
          <w:szCs w:val="24"/>
        </w:rPr>
        <w:t>.2 职业健康</w:t>
      </w:r>
      <w:bookmarkEnd w:id="200"/>
    </w:p>
    <w:bookmarkEnd w:id="20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6.2.1 劳动保护</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6.2.2 生活条件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02" w:name="_Toc9021"/>
      <w:r>
        <w:rPr>
          <w:rFonts w:hint="eastAsia" w:asciiTheme="minorEastAsia" w:hAnsiTheme="minorEastAsia" w:eastAsiaTheme="minorEastAsia" w:cstheme="minorEastAsia"/>
          <w:b/>
          <w:bCs/>
          <w:color w:val="000000"/>
          <w:szCs w:val="24"/>
        </w:rPr>
        <w:t>6</w:t>
      </w:r>
      <w:bookmarkStart w:id="203" w:name="_Toc337558766"/>
      <w:r>
        <w:rPr>
          <w:rFonts w:hint="eastAsia" w:asciiTheme="minorEastAsia" w:hAnsiTheme="minorEastAsia" w:eastAsiaTheme="minorEastAsia" w:cstheme="minorEastAsia"/>
          <w:b/>
          <w:bCs/>
          <w:color w:val="000000"/>
          <w:szCs w:val="24"/>
        </w:rPr>
        <w:t>.3 环境保护</w:t>
      </w:r>
      <w:bookmarkEnd w:id="202"/>
    </w:p>
    <w:bookmarkEnd w:id="203"/>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承包人应当承担因其原因引起的环境污染侵权损害赔偿责任，因上述环境污染引起纠纷而导致暂停施工的，由此增加的费用和（或）延误的工期由承包人承担。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04" w:name="_Toc19786"/>
      <w:r>
        <w:rPr>
          <w:rFonts w:hint="eastAsia" w:asciiTheme="minorEastAsia" w:hAnsiTheme="minorEastAsia" w:eastAsiaTheme="minorEastAsia" w:cstheme="minorEastAsia"/>
          <w:b/>
          <w:bCs/>
          <w:color w:val="000000"/>
          <w:szCs w:val="24"/>
        </w:rPr>
        <w:t>7</w:t>
      </w:r>
      <w:bookmarkStart w:id="205" w:name="_Toc337558767"/>
      <w:r>
        <w:rPr>
          <w:rFonts w:hint="eastAsia" w:asciiTheme="minorEastAsia" w:hAnsiTheme="minorEastAsia" w:eastAsiaTheme="minorEastAsia" w:cstheme="minorEastAsia"/>
          <w:b/>
          <w:bCs/>
          <w:color w:val="000000"/>
          <w:szCs w:val="24"/>
        </w:rPr>
        <w:t>. 工期和进度</w:t>
      </w:r>
      <w:bookmarkEnd w:id="204"/>
    </w:p>
    <w:bookmarkEnd w:id="205"/>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06" w:name="_Toc32661"/>
      <w:r>
        <w:rPr>
          <w:rFonts w:hint="eastAsia" w:asciiTheme="minorEastAsia" w:hAnsiTheme="minorEastAsia" w:eastAsiaTheme="minorEastAsia" w:cstheme="minorEastAsia"/>
          <w:b/>
          <w:bCs/>
          <w:color w:val="000000"/>
          <w:szCs w:val="24"/>
        </w:rPr>
        <w:t>7</w:t>
      </w:r>
      <w:bookmarkStart w:id="207" w:name="_Toc337558768"/>
      <w:bookmarkStart w:id="208" w:name="_Toc296503066"/>
      <w:bookmarkStart w:id="209" w:name="_Toc296346567"/>
      <w:r>
        <w:rPr>
          <w:rFonts w:hint="eastAsia" w:asciiTheme="minorEastAsia" w:hAnsiTheme="minorEastAsia" w:eastAsiaTheme="minorEastAsia" w:cstheme="minorEastAsia"/>
          <w:b/>
          <w:bCs/>
          <w:color w:val="000000"/>
          <w:szCs w:val="24"/>
        </w:rPr>
        <w:t>.1施工组织设计</w:t>
      </w:r>
      <w:bookmarkEnd w:id="206"/>
    </w:p>
    <w:bookmarkEnd w:id="207"/>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sz w:val="24"/>
          <w:szCs w:val="24"/>
        </w:rPr>
        <w:t xml:space="preserve">7.1.1 </w:t>
      </w:r>
      <w:r>
        <w:rPr>
          <w:rFonts w:hint="eastAsia" w:asciiTheme="minorEastAsia" w:hAnsiTheme="minorEastAsia" w:eastAsiaTheme="minorEastAsia" w:cstheme="minorEastAsia"/>
          <w:b/>
          <w:bCs/>
          <w:color w:val="000000"/>
          <w:kern w:val="0"/>
          <w:sz w:val="24"/>
          <w:szCs w:val="24"/>
        </w:rPr>
        <w:t>施工组织设计的内容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施工组织设计应包含以下内容：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（1）施工方案；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（2）施工现场平面布置图；</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（3）施工进度计划和保证措施；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（4）劳动力及材料供应计划；</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（5）施工机械设备的选用；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（6）质量保证体系及措施；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（7）安全生产、文明施工措施；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（8）环境保护、成本控制措施；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（9）合同当事人约定的其他内容。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 xml:space="preserve">7.1.2 </w:t>
      </w:r>
      <w:r>
        <w:rPr>
          <w:rFonts w:hint="eastAsia" w:asciiTheme="minorEastAsia" w:hAnsiTheme="minorEastAsia" w:eastAsiaTheme="minorEastAsia" w:cstheme="minorEastAsia"/>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施工进度计划的编制和修改按照第7.2款〔施工进度计划〕执行。</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10" w:name="_Toc19407"/>
      <w:r>
        <w:rPr>
          <w:rFonts w:hint="eastAsia" w:asciiTheme="minorEastAsia" w:hAnsiTheme="minorEastAsia" w:eastAsiaTheme="minorEastAsia" w:cstheme="minorEastAsia"/>
          <w:b/>
          <w:bCs/>
          <w:color w:val="000000"/>
          <w:szCs w:val="24"/>
        </w:rPr>
        <w:t>7</w:t>
      </w:r>
      <w:bookmarkStart w:id="211" w:name="_Toc337558769"/>
      <w:r>
        <w:rPr>
          <w:rFonts w:hint="eastAsia" w:asciiTheme="minorEastAsia" w:hAnsiTheme="minorEastAsia" w:eastAsiaTheme="minorEastAsia" w:cstheme="minorEastAsia"/>
          <w:b/>
          <w:bCs/>
          <w:color w:val="000000"/>
          <w:szCs w:val="24"/>
        </w:rPr>
        <w:t>.2 施工进度计划</w:t>
      </w:r>
      <w:bookmarkEnd w:id="210"/>
    </w:p>
    <w:bookmarkEnd w:id="21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7.2.1 施工进度计划的编制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7.2.2 施工进度计划的修订</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12" w:name="_Toc8325"/>
      <w:r>
        <w:rPr>
          <w:rFonts w:hint="eastAsia" w:asciiTheme="minorEastAsia" w:hAnsiTheme="minorEastAsia" w:eastAsiaTheme="minorEastAsia" w:cstheme="minorEastAsia"/>
          <w:b/>
          <w:bCs/>
          <w:color w:val="000000"/>
          <w:szCs w:val="24"/>
        </w:rPr>
        <w:t>7</w:t>
      </w:r>
      <w:bookmarkStart w:id="213" w:name="_Toc337558770"/>
      <w:r>
        <w:rPr>
          <w:rFonts w:hint="eastAsia" w:asciiTheme="minorEastAsia" w:hAnsiTheme="minorEastAsia" w:eastAsiaTheme="minorEastAsia" w:cstheme="minorEastAsia"/>
          <w:b/>
          <w:bCs/>
          <w:color w:val="000000"/>
          <w:szCs w:val="24"/>
        </w:rPr>
        <w:t>.3 开工</w:t>
      </w:r>
      <w:bookmarkEnd w:id="212"/>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rPr>
        <w:t>7.3.1 开工准备</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除专用合同条款另有约定外，合同当事人应按约定完成开工准备工作。</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7.3.2 开工通知</w:t>
      </w:r>
    </w:p>
    <w:bookmarkEnd w:id="213"/>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14" w:name="_Toc3618"/>
      <w:r>
        <w:rPr>
          <w:rFonts w:hint="eastAsia" w:asciiTheme="minorEastAsia" w:hAnsiTheme="minorEastAsia" w:eastAsiaTheme="minorEastAsia" w:cstheme="minorEastAsia"/>
          <w:b/>
          <w:bCs/>
          <w:color w:val="000000"/>
          <w:szCs w:val="24"/>
        </w:rPr>
        <w:t>7.4测量放线</w:t>
      </w:r>
      <w:bookmarkEnd w:id="214"/>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施工过程中对施工现场内水准点等测量标志物的保护工作由承包人负责。</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15" w:name="_Toc31291"/>
      <w:r>
        <w:rPr>
          <w:rFonts w:hint="eastAsia" w:asciiTheme="minorEastAsia" w:hAnsiTheme="minorEastAsia" w:eastAsiaTheme="minorEastAsia" w:cstheme="minorEastAsia"/>
          <w:b/>
          <w:bCs/>
          <w:color w:val="000000"/>
          <w:szCs w:val="24"/>
        </w:rPr>
        <w:t>7</w:t>
      </w:r>
      <w:bookmarkEnd w:id="208"/>
      <w:bookmarkEnd w:id="209"/>
      <w:bookmarkStart w:id="216" w:name="_Toc296503073"/>
      <w:bookmarkStart w:id="217" w:name="_Toc337558772"/>
      <w:bookmarkStart w:id="218" w:name="_Toc296346574"/>
      <w:r>
        <w:rPr>
          <w:rFonts w:hint="eastAsia" w:asciiTheme="minorEastAsia" w:hAnsiTheme="minorEastAsia" w:eastAsiaTheme="minorEastAsia" w:cstheme="minorEastAsia"/>
          <w:b/>
          <w:bCs/>
          <w:color w:val="000000"/>
          <w:szCs w:val="24"/>
        </w:rPr>
        <w:t>.5 工期延误</w:t>
      </w:r>
      <w:bookmarkEnd w:id="215"/>
    </w:p>
    <w:bookmarkEnd w:id="216"/>
    <w:bookmarkEnd w:id="217"/>
    <w:bookmarkEnd w:id="218"/>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7.5.1 因发包人原因导致工期延误</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在合同履行过程中，因下列情况导致工期延误和（或）费用增加的，由发包人承担由此延误的工期和（或）增加的费用，且发包人应支付承包人合理的利润： </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（1）发包人未能按合同约定提供图纸或所提供图纸不符合合同约定的；</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（2）发包人未能按合同约定提供施工现场、施工条件、基础资料、许可、批准等开工条件的；</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（3）发包人提供的测量基准点、基准线和水准点及其书面资料存在错误或疏漏的；</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（4）发包人未能在计划开工日期之日起7天内同意下达开工通知的；</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（5）发包人未能按合同约定日期支付工程预付款、进度款或竣工结算款的；</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（6）监理人未按合同约定发出指示、批准等文件的；</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（7）专用合同条款中约定的其他情形。</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7.5.2 因承包人原因导致工期延误</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bookmarkStart w:id="219" w:name="_Toc296346577"/>
      <w:bookmarkStart w:id="220" w:name="_Toc296503076"/>
      <w:r>
        <w:rPr>
          <w:rFonts w:hint="eastAsia" w:asciiTheme="minorEastAsia" w:hAnsiTheme="minorEastAsia" w:eastAsiaTheme="minorEastAsia" w:cstheme="minorEastAsia"/>
          <w:color w:val="000000"/>
          <w:kern w:val="0"/>
          <w:sz w:val="24"/>
          <w:szCs w:val="24"/>
        </w:rPr>
        <w:t>因</w:t>
      </w:r>
      <w:bookmarkEnd w:id="219"/>
      <w:bookmarkEnd w:id="220"/>
      <w:r>
        <w:rPr>
          <w:rFonts w:hint="eastAsia" w:asciiTheme="minorEastAsia" w:hAnsiTheme="minorEastAsia" w:eastAsiaTheme="minorEastAsia" w:cstheme="minorEastAsia"/>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21" w:name="_Toc28308"/>
      <w:r>
        <w:rPr>
          <w:rFonts w:hint="eastAsia" w:asciiTheme="minorEastAsia" w:hAnsiTheme="minorEastAsia" w:eastAsiaTheme="minorEastAsia" w:cstheme="minorEastAsia"/>
          <w:b/>
          <w:bCs/>
          <w:color w:val="000000"/>
          <w:szCs w:val="24"/>
        </w:rPr>
        <w:t>7</w:t>
      </w:r>
      <w:bookmarkStart w:id="222" w:name="_Toc296503074"/>
      <w:bookmarkStart w:id="223" w:name="_Toc296346575"/>
      <w:bookmarkStart w:id="224" w:name="_Toc337558773"/>
      <w:bookmarkStart w:id="225" w:name="_Toc296346578"/>
      <w:bookmarkStart w:id="226" w:name="_Toc296503077"/>
      <w:r>
        <w:rPr>
          <w:rFonts w:hint="eastAsia" w:asciiTheme="minorEastAsia" w:hAnsiTheme="minorEastAsia" w:eastAsiaTheme="minorEastAsia" w:cstheme="minorEastAsia"/>
          <w:b/>
          <w:bCs/>
          <w:color w:val="000000"/>
          <w:szCs w:val="24"/>
        </w:rPr>
        <w:t>.6 不利物质条件</w:t>
      </w:r>
      <w:bookmarkEnd w:id="221"/>
    </w:p>
    <w:bookmarkEnd w:id="222"/>
    <w:bookmarkEnd w:id="223"/>
    <w:bookmarkEnd w:id="224"/>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27" w:name="_Toc8529"/>
      <w:r>
        <w:rPr>
          <w:rFonts w:hint="eastAsia" w:asciiTheme="minorEastAsia" w:hAnsiTheme="minorEastAsia" w:eastAsiaTheme="minorEastAsia" w:cstheme="minorEastAsia"/>
          <w:b/>
          <w:bCs/>
          <w:color w:val="000000"/>
          <w:szCs w:val="24"/>
        </w:rPr>
        <w:t>7</w:t>
      </w:r>
      <w:bookmarkStart w:id="228" w:name="_Toc296346576"/>
      <w:bookmarkStart w:id="229" w:name="_Toc337558774"/>
      <w:bookmarkStart w:id="230" w:name="_Toc296503075"/>
      <w:r>
        <w:rPr>
          <w:rFonts w:hint="eastAsia" w:asciiTheme="minorEastAsia" w:hAnsiTheme="minorEastAsia" w:eastAsiaTheme="minorEastAsia" w:cstheme="minorEastAsia"/>
          <w:b/>
          <w:bCs/>
          <w:color w:val="000000"/>
          <w:szCs w:val="24"/>
        </w:rPr>
        <w:t>.7 异常恶劣的气候条件</w:t>
      </w:r>
      <w:bookmarkEnd w:id="227"/>
    </w:p>
    <w:bookmarkEnd w:id="228"/>
    <w:bookmarkEnd w:id="229"/>
    <w:bookmarkEnd w:id="230"/>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31" w:name="_Toc27826"/>
      <w:r>
        <w:rPr>
          <w:rFonts w:hint="eastAsia" w:asciiTheme="minorEastAsia" w:hAnsiTheme="minorEastAsia" w:eastAsiaTheme="minorEastAsia" w:cstheme="minorEastAsia"/>
          <w:b/>
          <w:bCs/>
          <w:color w:val="000000"/>
          <w:szCs w:val="24"/>
        </w:rPr>
        <w:t>7</w:t>
      </w:r>
      <w:bookmarkStart w:id="232" w:name="_Toc337558775"/>
      <w:r>
        <w:rPr>
          <w:rFonts w:hint="eastAsia" w:asciiTheme="minorEastAsia" w:hAnsiTheme="minorEastAsia" w:eastAsiaTheme="minorEastAsia" w:cstheme="minorEastAsia"/>
          <w:b/>
          <w:bCs/>
          <w:color w:val="000000"/>
          <w:szCs w:val="24"/>
        </w:rPr>
        <w:t>.8 暂停施工</w:t>
      </w:r>
      <w:bookmarkEnd w:id="231"/>
    </w:p>
    <w:bookmarkEnd w:id="225"/>
    <w:bookmarkEnd w:id="226"/>
    <w:bookmarkEnd w:id="232"/>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7.8.1发包人原因引起的暂停施工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因发包人原因引起的暂停施工，发包人应承担由此增加的费用和（或）延误的工期，并支付承包人合理的利润。</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7.8.2 承包人原因引起的暂停施工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7.8.3 指示暂停施工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监理人认为有必要时，并经发包人批准后，可向承包人作出暂停施工的指示，承包人应按监理人指示暂停施工。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7.8.4 紧急情况下的暂停施工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7.8.5 暂停施工后的复工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承包人无故拖延和拒绝复工的，承包人承担由此增加的费用和（或）延误的工期；因发包人原因无法按时复工的，按照第7.5.1项〔因发包人原因导致工期延误〕约定办理。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7.8.6 暂停施工持续56天以上</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pageBreakBefore w:val="0"/>
        <w:widowControl w:val="0"/>
        <w:kinsoku/>
        <w:wordWrap/>
        <w:overflowPunct/>
        <w:topLinePunct w:val="0"/>
        <w:autoSpaceDE w:val="0"/>
        <w:autoSpaceDN w:val="0"/>
        <w:bidi w:val="0"/>
        <w:adjustRightInd w:val="0"/>
        <w:spacing w:line="480" w:lineRule="exact"/>
        <w:ind w:left="0"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7.8.7 暂停施工期间的工程照管</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暂停施工期间，承包人应负责妥善照管工程并提供安全保障，由此增加的费用由责任方承担。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7.8.8 暂停施工的措施</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暂停施工期间，发包人和承包人均应采取必要的措施确保工程质量及安全，防止因暂停施工扩大损失。</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33" w:name="_Toc26359"/>
      <w:r>
        <w:rPr>
          <w:rFonts w:hint="eastAsia" w:asciiTheme="minorEastAsia" w:hAnsiTheme="minorEastAsia" w:eastAsiaTheme="minorEastAsia" w:cstheme="minorEastAsia"/>
          <w:b/>
          <w:bCs/>
          <w:color w:val="000000"/>
          <w:szCs w:val="24"/>
        </w:rPr>
        <w:t>7.9提前竣工</w:t>
      </w:r>
      <w:bookmarkEnd w:id="233"/>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7.9.2 发包人要求承包人提前竣工，或承包人提出提前竣工的建议能够给发包人带来效益的，合同当事人可以在专用合同条款中约定提前竣工的奖励。</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34" w:name="_Toc3424"/>
      <w:r>
        <w:rPr>
          <w:rFonts w:hint="eastAsia" w:asciiTheme="minorEastAsia" w:hAnsiTheme="minorEastAsia" w:eastAsiaTheme="minorEastAsia" w:cstheme="minorEastAsia"/>
          <w:color w:val="000000"/>
          <w:szCs w:val="24"/>
        </w:rPr>
        <w:t>8</w:t>
      </w:r>
      <w:bookmarkStart w:id="235" w:name="_Toc296346559"/>
      <w:bookmarkStart w:id="236" w:name="_Toc337558776"/>
      <w:bookmarkStart w:id="237" w:name="_Toc296503058"/>
      <w:r>
        <w:rPr>
          <w:rFonts w:hint="eastAsia" w:asciiTheme="minorEastAsia" w:hAnsiTheme="minorEastAsia" w:eastAsiaTheme="minorEastAsia" w:cstheme="minorEastAsia"/>
          <w:color w:val="000000"/>
          <w:szCs w:val="24"/>
        </w:rPr>
        <w:t>. 材料与设备</w:t>
      </w:r>
      <w:bookmarkEnd w:id="234"/>
    </w:p>
    <w:bookmarkEnd w:id="235"/>
    <w:bookmarkEnd w:id="236"/>
    <w:bookmarkEnd w:id="237"/>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38" w:name="_Toc6956"/>
      <w:r>
        <w:rPr>
          <w:rFonts w:hint="eastAsia" w:asciiTheme="minorEastAsia" w:hAnsiTheme="minorEastAsia" w:eastAsiaTheme="minorEastAsia" w:cstheme="minorEastAsia"/>
          <w:color w:val="000000"/>
          <w:szCs w:val="24"/>
        </w:rPr>
        <w:t>8</w:t>
      </w:r>
      <w:bookmarkStart w:id="239" w:name="_Toc296346560"/>
      <w:bookmarkStart w:id="240" w:name="_Toc337558777"/>
      <w:bookmarkStart w:id="241" w:name="_Toc296503059"/>
      <w:bookmarkStart w:id="242" w:name="_Toc468936960"/>
      <w:r>
        <w:rPr>
          <w:rFonts w:hint="eastAsia" w:asciiTheme="minorEastAsia" w:hAnsiTheme="minorEastAsia" w:eastAsiaTheme="minorEastAsia" w:cstheme="minorEastAsia"/>
          <w:color w:val="000000"/>
          <w:szCs w:val="24"/>
        </w:rPr>
        <w:t>.1发包人供应材料与工程设备</w:t>
      </w:r>
      <w:bookmarkEnd w:id="238"/>
    </w:p>
    <w:bookmarkEnd w:id="239"/>
    <w:bookmarkEnd w:id="240"/>
    <w:bookmarkEnd w:id="24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43" w:name="_Toc27810"/>
      <w:r>
        <w:rPr>
          <w:rFonts w:hint="eastAsia" w:asciiTheme="minorEastAsia" w:hAnsiTheme="minorEastAsia" w:eastAsiaTheme="minorEastAsia" w:cstheme="minorEastAsia"/>
          <w:color w:val="000000"/>
          <w:szCs w:val="24"/>
        </w:rPr>
        <w:t>8</w:t>
      </w:r>
      <w:bookmarkStart w:id="244" w:name="_Toc296346561"/>
      <w:bookmarkStart w:id="245" w:name="_Toc337558778"/>
      <w:bookmarkStart w:id="246" w:name="_Toc296503060"/>
      <w:r>
        <w:rPr>
          <w:rFonts w:hint="eastAsia" w:asciiTheme="minorEastAsia" w:hAnsiTheme="minorEastAsia" w:eastAsiaTheme="minorEastAsia" w:cstheme="minorEastAsia"/>
          <w:color w:val="000000"/>
          <w:szCs w:val="24"/>
        </w:rPr>
        <w:t>.2承包人采购材料与工程设备</w:t>
      </w:r>
      <w:bookmarkEnd w:id="243"/>
    </w:p>
    <w:bookmarkEnd w:id="244"/>
    <w:bookmarkEnd w:id="245"/>
    <w:bookmarkEnd w:id="246"/>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47" w:name="_Toc19932"/>
      <w:r>
        <w:rPr>
          <w:rFonts w:hint="eastAsia" w:asciiTheme="minorEastAsia" w:hAnsiTheme="minorEastAsia" w:eastAsiaTheme="minorEastAsia" w:cstheme="minorEastAsia"/>
          <w:color w:val="000000"/>
          <w:szCs w:val="24"/>
        </w:rPr>
        <w:t>8</w:t>
      </w:r>
      <w:bookmarkStart w:id="248" w:name="_Toc296346562"/>
      <w:bookmarkStart w:id="249" w:name="_Toc296503061"/>
      <w:bookmarkStart w:id="250" w:name="_Toc337558779"/>
      <w:r>
        <w:rPr>
          <w:rFonts w:hint="eastAsia" w:asciiTheme="minorEastAsia" w:hAnsiTheme="minorEastAsia" w:eastAsiaTheme="minorEastAsia" w:cstheme="minorEastAsia"/>
          <w:color w:val="000000"/>
          <w:szCs w:val="24"/>
        </w:rPr>
        <w:t>.3材料与工程设备的接收与拒收</w:t>
      </w:r>
      <w:bookmarkEnd w:id="247"/>
    </w:p>
    <w:bookmarkEnd w:id="248"/>
    <w:bookmarkEnd w:id="249"/>
    <w:bookmarkEnd w:id="250"/>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8.3.2 承包人采购的材料和工程设备，应保证产品质量合格，承包人应在材料和工程设备到货前24小时通知监理人检验。承</w:t>
      </w:r>
      <w:bookmarkStart w:id="251" w:name="_Toc250655469"/>
      <w:r>
        <w:rPr>
          <w:rFonts w:hint="eastAsia" w:asciiTheme="minorEastAsia" w:hAnsiTheme="minorEastAsia" w:eastAsiaTheme="minorEastAsia" w:cstheme="minorEastAsia"/>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25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52" w:name="_Toc5832"/>
      <w:r>
        <w:rPr>
          <w:rFonts w:hint="eastAsia" w:asciiTheme="minorEastAsia" w:hAnsiTheme="minorEastAsia" w:eastAsiaTheme="minorEastAsia" w:cstheme="minorEastAsia"/>
          <w:color w:val="000000"/>
          <w:szCs w:val="24"/>
        </w:rPr>
        <w:t>8</w:t>
      </w:r>
      <w:bookmarkStart w:id="253" w:name="_Toc296503062"/>
      <w:bookmarkStart w:id="254" w:name="_Toc337558780"/>
      <w:bookmarkStart w:id="255" w:name="_Toc296346563"/>
      <w:r>
        <w:rPr>
          <w:rFonts w:hint="eastAsia" w:asciiTheme="minorEastAsia" w:hAnsiTheme="minorEastAsia" w:eastAsiaTheme="minorEastAsia" w:cstheme="minorEastAsia"/>
          <w:color w:val="000000"/>
          <w:szCs w:val="24"/>
        </w:rPr>
        <w:t>.4材料与工程设备的保管与使用</w:t>
      </w:r>
      <w:bookmarkEnd w:id="252"/>
    </w:p>
    <w:bookmarkEnd w:id="253"/>
    <w:bookmarkEnd w:id="254"/>
    <w:bookmarkEnd w:id="255"/>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8.4.1 发包人供应</w:t>
      </w:r>
      <w:r>
        <w:rPr>
          <w:rFonts w:hint="eastAsia" w:asciiTheme="minorEastAsia" w:hAnsiTheme="minorEastAsia" w:eastAsiaTheme="minorEastAsia" w:cstheme="minorEastAsia"/>
          <w:color w:val="000000"/>
          <w:sz w:val="24"/>
          <w:szCs w:val="24"/>
        </w:rPr>
        <w:t>材料与</w:t>
      </w:r>
      <w:r>
        <w:rPr>
          <w:rFonts w:hint="eastAsia" w:asciiTheme="minorEastAsia" w:hAnsiTheme="minorEastAsia" w:eastAsiaTheme="minorEastAsia" w:cstheme="minorEastAsia"/>
          <w:color w:val="000000"/>
          <w:kern w:val="0"/>
          <w:sz w:val="24"/>
          <w:szCs w:val="24"/>
        </w:rPr>
        <w:t>工程</w:t>
      </w:r>
      <w:r>
        <w:rPr>
          <w:rFonts w:hint="eastAsia" w:asciiTheme="minorEastAsia" w:hAnsiTheme="minorEastAsia" w:eastAsiaTheme="minorEastAsia" w:cstheme="minorEastAsia"/>
          <w:color w:val="000000"/>
          <w:sz w:val="24"/>
          <w:szCs w:val="24"/>
        </w:rPr>
        <w:t>设备的保管与使用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发包人供应的材料和工程设备使用前，由承包人负责检验，检验费用由发包人承担，不合格的不得使用。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8.4.2 承包人采购</w:t>
      </w:r>
      <w:r>
        <w:rPr>
          <w:rFonts w:hint="eastAsia" w:asciiTheme="minorEastAsia" w:hAnsiTheme="minorEastAsia" w:eastAsiaTheme="minorEastAsia" w:cstheme="minorEastAsia"/>
          <w:color w:val="000000"/>
          <w:sz w:val="24"/>
          <w:szCs w:val="24"/>
        </w:rPr>
        <w:t>材料与</w:t>
      </w:r>
      <w:r>
        <w:rPr>
          <w:rFonts w:hint="eastAsia" w:asciiTheme="minorEastAsia" w:hAnsiTheme="minorEastAsia" w:eastAsiaTheme="minorEastAsia" w:cstheme="minorEastAsia"/>
          <w:color w:val="000000"/>
          <w:kern w:val="0"/>
          <w:sz w:val="24"/>
          <w:szCs w:val="24"/>
        </w:rPr>
        <w:t>工程</w:t>
      </w:r>
      <w:r>
        <w:rPr>
          <w:rFonts w:hint="eastAsia" w:asciiTheme="minorEastAsia" w:hAnsiTheme="minorEastAsia" w:eastAsiaTheme="minorEastAsia" w:cstheme="minorEastAsia"/>
          <w:color w:val="000000"/>
          <w:sz w:val="24"/>
          <w:szCs w:val="24"/>
        </w:rPr>
        <w:t>设备的保管与使用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56" w:name="_Toc28135"/>
      <w:r>
        <w:rPr>
          <w:rFonts w:hint="eastAsia" w:asciiTheme="minorEastAsia" w:hAnsiTheme="minorEastAsia" w:eastAsiaTheme="minorEastAsia" w:cstheme="minorEastAsia"/>
          <w:color w:val="000000"/>
          <w:szCs w:val="24"/>
        </w:rPr>
        <w:t>8.5禁止使用不合格的材料和工程设备</w:t>
      </w:r>
      <w:bookmarkEnd w:id="256"/>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8.5.2 监理人发现承包人使用了不合格的材料和工程设备，承包人应按照监理人的指示立即改正，并禁止在工程中继续使用不合格的材料和工程设备。</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57" w:name="_Toc11223"/>
      <w:r>
        <w:rPr>
          <w:rFonts w:hint="eastAsia" w:asciiTheme="minorEastAsia" w:hAnsiTheme="minorEastAsia" w:eastAsiaTheme="minorEastAsia" w:cstheme="minorEastAsia"/>
          <w:b/>
          <w:bCs/>
          <w:color w:val="000000"/>
          <w:szCs w:val="24"/>
        </w:rPr>
        <w:t>8.6 样品</w:t>
      </w:r>
      <w:bookmarkEnd w:id="257"/>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8.6.1</w:t>
      </w:r>
      <w:r>
        <w:rPr>
          <w:rFonts w:hint="eastAsia" w:asciiTheme="minorEastAsia" w:hAnsiTheme="minorEastAsia" w:eastAsiaTheme="minorEastAsia" w:cstheme="minorEastAsia"/>
          <w:b/>
          <w:bCs/>
          <w:color w:val="000000"/>
          <w:kern w:val="0"/>
          <w:sz w:val="24"/>
          <w:szCs w:val="24"/>
        </w:rPr>
        <w:tab/>
      </w:r>
      <w:r>
        <w:rPr>
          <w:rFonts w:hint="eastAsia" w:asciiTheme="minorEastAsia" w:hAnsiTheme="minorEastAsia" w:eastAsiaTheme="minorEastAsia" w:cstheme="minorEastAsia"/>
          <w:b/>
          <w:bCs/>
          <w:color w:val="000000"/>
          <w:kern w:val="0"/>
          <w:sz w:val="24"/>
          <w:szCs w:val="24"/>
        </w:rPr>
        <w:t>样品的报送与封存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需要承包人报送样品的材料或工程设备，样品的种类、名称、规格、数量等要求均应在专用合同条款中约定。样品的报送程序如下：</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8.6.2 样品的保管</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经批准的样品应由监理人负责封存于现场，承包人应在现场为保存样品提供适当和固定的场所并保持适当和良好的存储环境条件。</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58" w:name="_Toc23891"/>
      <w:r>
        <w:rPr>
          <w:rFonts w:hint="eastAsia" w:asciiTheme="minorEastAsia" w:hAnsiTheme="minorEastAsia" w:eastAsiaTheme="minorEastAsia" w:cstheme="minorEastAsia"/>
          <w:b/>
          <w:bCs/>
          <w:color w:val="000000"/>
          <w:szCs w:val="24"/>
        </w:rPr>
        <w:t>8.7材料与工程设备的替代</w:t>
      </w:r>
      <w:bookmarkEnd w:id="258"/>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8.7.1 出现下列情况需要使用替代材料和工程设备的，承包人应按照第8.7.2项约定的程序执行：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（1）基准日期后生效的法律规定禁止使用的；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（2）发包人要求使用替代品的；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（3）因其他原因必须使用替代品的。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8.7.2 承包人应在使用替代材料和工程设备28天前书面通知监理人，并附下列文件：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（1）被替代的材料和工程设备的名称、数量、规格、型号、品牌、性能、价格及其他相关资料；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（2）替代品的名称、数量、规格、型号、品牌、性能、价格及其他相关资料；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（3）替代品与被替代产品之间的差异以及使用替代品可能对工程产生的影响；</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（4）替代品与被替代产品的价格差异；</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（5）使用替代品的理由和原因说明；</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（6）监理人要求的其他文件。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监理人应在收到通知后14天内向承包人发出经发包人签认的书面指示；监理人逾期发出书面指示的，视为发包人和监理人同意使用替代品。</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59" w:name="_Toc10086"/>
      <w:r>
        <w:rPr>
          <w:rFonts w:hint="eastAsia" w:asciiTheme="minorEastAsia" w:hAnsiTheme="minorEastAsia" w:eastAsiaTheme="minorEastAsia" w:cstheme="minorEastAsia"/>
          <w:b/>
          <w:bCs/>
          <w:color w:val="000000"/>
          <w:szCs w:val="24"/>
        </w:rPr>
        <w:t>8.8施工设备和临时设施</w:t>
      </w:r>
      <w:bookmarkEnd w:id="259"/>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8.8.1 承包人提供的施工设备和临时设施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除专用合同条款另有约定外，承包人应自行承担修建临时设施的费用，需要临时占地的，应由发包人办理申请手续并承担相应费用。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8.8.2发包人提供的施工设备和临时设施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发包人提供的施工设备或临时设施在专用合同条款中约定。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8.8.3要求承包人增加或更换施工设备</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60" w:name="_Toc3141"/>
      <w:r>
        <w:rPr>
          <w:rFonts w:hint="eastAsia" w:asciiTheme="minorEastAsia" w:hAnsiTheme="minorEastAsia" w:eastAsiaTheme="minorEastAsia" w:cstheme="minorEastAsia"/>
          <w:b/>
          <w:bCs/>
          <w:color w:val="000000"/>
          <w:szCs w:val="24"/>
        </w:rPr>
        <w:t>8</w:t>
      </w:r>
      <w:bookmarkStart w:id="261" w:name="_Toc337558781"/>
      <w:bookmarkStart w:id="262" w:name="_Toc296346564"/>
      <w:bookmarkStart w:id="263" w:name="_Toc296503063"/>
      <w:r>
        <w:rPr>
          <w:rFonts w:hint="eastAsia" w:asciiTheme="minorEastAsia" w:hAnsiTheme="minorEastAsia" w:eastAsiaTheme="minorEastAsia" w:cstheme="minorEastAsia"/>
          <w:b/>
          <w:bCs/>
          <w:color w:val="000000"/>
          <w:szCs w:val="24"/>
        </w:rPr>
        <w:t>.9材料与设备专用要求</w:t>
      </w:r>
      <w:bookmarkEnd w:id="260"/>
    </w:p>
    <w:bookmarkEnd w:id="261"/>
    <w:bookmarkEnd w:id="262"/>
    <w:bookmarkEnd w:id="263"/>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42"/>
      <w:r>
        <w:rPr>
          <w:rFonts w:hint="eastAsia" w:asciiTheme="minorEastAsia" w:hAnsiTheme="minorEastAsia" w:eastAsiaTheme="minorEastAsia" w:cstheme="minorEastAsia"/>
          <w:color w:val="000000"/>
          <w:kern w:val="0"/>
          <w:sz w:val="24"/>
          <w:szCs w:val="24"/>
        </w:rPr>
        <w:t>经发包人批准，承包人可以根据施工进度计划撤走闲置的施工设备和其他物品。</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64" w:name="_Toc14415"/>
      <w:r>
        <w:rPr>
          <w:rFonts w:hint="eastAsia" w:asciiTheme="minorEastAsia" w:hAnsiTheme="minorEastAsia" w:eastAsiaTheme="minorEastAsia" w:cstheme="minorEastAsia"/>
          <w:b/>
          <w:bCs/>
          <w:color w:val="000000"/>
          <w:szCs w:val="24"/>
        </w:rPr>
        <w:t>9</w:t>
      </w:r>
      <w:bookmarkStart w:id="265" w:name="_Toc337558782"/>
      <w:bookmarkStart w:id="266" w:name="_Toc296503083"/>
      <w:bookmarkStart w:id="267" w:name="_Toc296346584"/>
      <w:r>
        <w:rPr>
          <w:rFonts w:hint="eastAsia" w:asciiTheme="minorEastAsia" w:hAnsiTheme="minorEastAsia" w:eastAsiaTheme="minorEastAsia" w:cstheme="minorEastAsia"/>
          <w:b/>
          <w:bCs/>
          <w:color w:val="000000"/>
          <w:szCs w:val="24"/>
        </w:rPr>
        <w:t>. 试验与检验</w:t>
      </w:r>
      <w:bookmarkEnd w:id="264"/>
    </w:p>
    <w:bookmarkEnd w:id="265"/>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68" w:name="_Toc30827"/>
      <w:r>
        <w:rPr>
          <w:rFonts w:hint="eastAsia" w:asciiTheme="minorEastAsia" w:hAnsiTheme="minorEastAsia" w:eastAsiaTheme="minorEastAsia" w:cstheme="minorEastAsia"/>
          <w:b/>
          <w:bCs/>
          <w:color w:val="000000"/>
          <w:szCs w:val="24"/>
        </w:rPr>
        <w:t>9</w:t>
      </w:r>
      <w:bookmarkStart w:id="269" w:name="_Toc337558783"/>
      <w:r>
        <w:rPr>
          <w:rFonts w:hint="eastAsia" w:asciiTheme="minorEastAsia" w:hAnsiTheme="minorEastAsia" w:eastAsiaTheme="minorEastAsia" w:cstheme="minorEastAsia"/>
          <w:b/>
          <w:bCs/>
          <w:color w:val="000000"/>
          <w:szCs w:val="24"/>
        </w:rPr>
        <w:t>.1试验设备与试验人员</w:t>
      </w:r>
      <w:bookmarkEnd w:id="268"/>
    </w:p>
    <w:bookmarkEnd w:id="269"/>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9.1.2 承包人应按专用合同条款的约定提供试验设备、取样装置、试验场所和试验条件，并向监理人提交相应进场计划表。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承包人配置的试验设备要符合相应试验规程的要求并经过具有资质的检测单位检测，且在正式使用该试验设备前，需要经过监理人与承包人共同校定。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70" w:name="_Toc11994"/>
      <w:r>
        <w:rPr>
          <w:rFonts w:hint="eastAsia" w:asciiTheme="minorEastAsia" w:hAnsiTheme="minorEastAsia" w:eastAsiaTheme="minorEastAsia" w:cstheme="minorEastAsia"/>
          <w:color w:val="000000"/>
          <w:szCs w:val="24"/>
        </w:rPr>
        <w:t>9</w:t>
      </w:r>
      <w:bookmarkStart w:id="271" w:name="_Toc337558784"/>
      <w:r>
        <w:rPr>
          <w:rFonts w:hint="eastAsia" w:asciiTheme="minorEastAsia" w:hAnsiTheme="minorEastAsia" w:eastAsiaTheme="minorEastAsia" w:cstheme="minorEastAsia"/>
          <w:color w:val="000000"/>
          <w:szCs w:val="24"/>
        </w:rPr>
        <w:t>.2取样</w:t>
      </w:r>
      <w:bookmarkEnd w:id="270"/>
    </w:p>
    <w:bookmarkEnd w:id="271"/>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试验属于自检性质的，承包人可以单独取样。试验属于监理人抽检性质的，可由监理人取样，也可由承包人的试验人员在监理人的监督下取样。</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72" w:name="_Toc7416"/>
      <w:r>
        <w:rPr>
          <w:rFonts w:hint="eastAsia" w:asciiTheme="minorEastAsia" w:hAnsiTheme="minorEastAsia" w:eastAsiaTheme="minorEastAsia" w:cstheme="minorEastAsia"/>
          <w:color w:val="000000"/>
          <w:szCs w:val="24"/>
        </w:rPr>
        <w:t>9</w:t>
      </w:r>
      <w:bookmarkStart w:id="273" w:name="_Toc337558785"/>
      <w:r>
        <w:rPr>
          <w:rFonts w:hint="eastAsia" w:asciiTheme="minorEastAsia" w:hAnsiTheme="minorEastAsia" w:eastAsiaTheme="minorEastAsia" w:cstheme="minorEastAsia"/>
          <w:color w:val="000000"/>
          <w:szCs w:val="24"/>
        </w:rPr>
        <w:t>.3材料、工程设备和工程的试验和检验</w:t>
      </w:r>
      <w:bookmarkEnd w:id="272"/>
    </w:p>
    <w:bookmarkEnd w:id="273"/>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74" w:name="_Toc32077"/>
      <w:r>
        <w:rPr>
          <w:rFonts w:hint="eastAsia" w:asciiTheme="minorEastAsia" w:hAnsiTheme="minorEastAsia" w:eastAsiaTheme="minorEastAsia" w:cstheme="minorEastAsia"/>
          <w:color w:val="000000"/>
          <w:szCs w:val="24"/>
        </w:rPr>
        <w:t>9</w:t>
      </w:r>
      <w:bookmarkStart w:id="275" w:name="_Toc337558786"/>
      <w:r>
        <w:rPr>
          <w:rFonts w:hint="eastAsia" w:asciiTheme="minorEastAsia" w:hAnsiTheme="minorEastAsia" w:eastAsiaTheme="minorEastAsia" w:cstheme="minorEastAsia"/>
          <w:color w:val="000000"/>
          <w:szCs w:val="24"/>
        </w:rPr>
        <w:t>.4现场工艺试验</w:t>
      </w:r>
      <w:bookmarkEnd w:id="274"/>
    </w:p>
    <w:bookmarkEnd w:id="275"/>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76" w:name="_Toc32624"/>
      <w:r>
        <w:rPr>
          <w:rFonts w:hint="eastAsia" w:asciiTheme="minorEastAsia" w:hAnsiTheme="minorEastAsia" w:eastAsiaTheme="minorEastAsia" w:cstheme="minorEastAsia"/>
          <w:b/>
          <w:bCs/>
          <w:color w:val="000000"/>
          <w:szCs w:val="24"/>
        </w:rPr>
        <w:t>1</w:t>
      </w:r>
      <w:bookmarkStart w:id="277" w:name="_Toc337558787"/>
      <w:r>
        <w:rPr>
          <w:rFonts w:hint="eastAsia" w:asciiTheme="minorEastAsia" w:hAnsiTheme="minorEastAsia" w:eastAsiaTheme="minorEastAsia" w:cstheme="minorEastAsia"/>
          <w:b/>
          <w:bCs/>
          <w:color w:val="000000"/>
          <w:szCs w:val="24"/>
        </w:rPr>
        <w:t>0. 变更</w:t>
      </w:r>
      <w:bookmarkEnd w:id="266"/>
      <w:bookmarkEnd w:id="267"/>
      <w:bookmarkEnd w:id="276"/>
    </w:p>
    <w:bookmarkEnd w:id="277"/>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278" w:name="_Toc26127"/>
      <w:r>
        <w:rPr>
          <w:rFonts w:hint="eastAsia" w:asciiTheme="minorEastAsia" w:hAnsiTheme="minorEastAsia" w:eastAsiaTheme="minorEastAsia" w:cstheme="minorEastAsia"/>
          <w:b/>
          <w:bCs/>
          <w:color w:val="000000"/>
          <w:szCs w:val="24"/>
        </w:rPr>
        <w:t>1</w:t>
      </w:r>
      <w:bookmarkStart w:id="279" w:name="_Toc296503084"/>
      <w:bookmarkStart w:id="280" w:name="_Toc296346585"/>
      <w:bookmarkStart w:id="281" w:name="_Toc337558788"/>
      <w:r>
        <w:rPr>
          <w:rFonts w:hint="eastAsia" w:asciiTheme="minorEastAsia" w:hAnsiTheme="minorEastAsia" w:eastAsiaTheme="minorEastAsia" w:cstheme="minorEastAsia"/>
          <w:b/>
          <w:bCs/>
          <w:color w:val="000000"/>
          <w:szCs w:val="24"/>
        </w:rPr>
        <w:t>0.1变更的范围</w:t>
      </w:r>
      <w:bookmarkEnd w:id="278"/>
    </w:p>
    <w:bookmarkEnd w:id="279"/>
    <w:bookmarkEnd w:id="280"/>
    <w:bookmarkEnd w:id="28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除专用合同条款另有约定外，合同履行过程中发生以下情形的，应按照本条约定进行变更：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（1）增加或减少合同中任何工作，或追加额外的工作；</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（2）取消合同中任何工作，但转由他人实施的工作除外；</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（3）改变合同中任何工作的质量标准或其他特性；</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（4）改变工程的基线、标高、位置和尺寸；</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（5）改变工程的时间安排或实施顺序。</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82" w:name="_Toc10188"/>
      <w:r>
        <w:rPr>
          <w:rFonts w:hint="eastAsia" w:asciiTheme="minorEastAsia" w:hAnsiTheme="minorEastAsia" w:eastAsiaTheme="minorEastAsia" w:cstheme="minorEastAsia"/>
          <w:color w:val="000000"/>
          <w:szCs w:val="24"/>
        </w:rPr>
        <w:t>1</w:t>
      </w:r>
      <w:bookmarkStart w:id="283" w:name="_Toc296346586"/>
      <w:bookmarkStart w:id="284" w:name="_Toc296503085"/>
      <w:bookmarkStart w:id="285" w:name="_Toc337558789"/>
      <w:r>
        <w:rPr>
          <w:rFonts w:hint="eastAsia" w:asciiTheme="minorEastAsia" w:hAnsiTheme="minorEastAsia" w:eastAsiaTheme="minorEastAsia" w:cstheme="minorEastAsia"/>
          <w:color w:val="000000"/>
          <w:szCs w:val="24"/>
        </w:rPr>
        <w:t>0.2变更权</w:t>
      </w:r>
      <w:bookmarkEnd w:id="282"/>
    </w:p>
    <w:bookmarkEnd w:id="283"/>
    <w:bookmarkEnd w:id="284"/>
    <w:bookmarkEnd w:id="285"/>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涉及设计变更的，应由设计人提供变更后的图纸和说明。如变更超过原设计标准或批准的建设规模时，发包人应及时办理规划、设计变更等审批手续。</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86" w:name="_Toc2999"/>
      <w:r>
        <w:rPr>
          <w:rFonts w:hint="eastAsia" w:asciiTheme="minorEastAsia" w:hAnsiTheme="minorEastAsia" w:eastAsiaTheme="minorEastAsia" w:cstheme="minorEastAsia"/>
          <w:color w:val="000000"/>
          <w:szCs w:val="24"/>
        </w:rPr>
        <w:t>1</w:t>
      </w:r>
      <w:bookmarkStart w:id="287" w:name="_Toc296503086"/>
      <w:bookmarkStart w:id="288" w:name="_Toc296346587"/>
      <w:bookmarkStart w:id="289" w:name="_Toc337558790"/>
      <w:r>
        <w:rPr>
          <w:rFonts w:hint="eastAsia" w:asciiTheme="minorEastAsia" w:hAnsiTheme="minorEastAsia" w:eastAsiaTheme="minorEastAsia" w:cstheme="minorEastAsia"/>
          <w:color w:val="000000"/>
          <w:szCs w:val="24"/>
        </w:rPr>
        <w:t>0.3变更程序</w:t>
      </w:r>
      <w:bookmarkEnd w:id="286"/>
    </w:p>
    <w:bookmarkEnd w:id="287"/>
    <w:bookmarkEnd w:id="288"/>
    <w:bookmarkEnd w:id="289"/>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kern w:val="0"/>
          <w:sz w:val="24"/>
          <w:szCs w:val="24"/>
        </w:rPr>
        <w:t>.3.1 发包人提出变更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发包人提出变更的，应通过监理人向承包人发出变更指示，变更指示应说明计划变更的工程范围和变更的内容。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kern w:val="0"/>
          <w:sz w:val="24"/>
          <w:szCs w:val="24"/>
        </w:rPr>
        <w:t>.3.2 监理人提出变更建议</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10.3.3 变更执行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90" w:name="_Toc1727"/>
      <w:r>
        <w:rPr>
          <w:rFonts w:hint="eastAsia" w:asciiTheme="minorEastAsia" w:hAnsiTheme="minorEastAsia" w:eastAsiaTheme="minorEastAsia" w:cstheme="minorEastAsia"/>
          <w:color w:val="000000"/>
          <w:szCs w:val="24"/>
        </w:rPr>
        <w:t>1</w:t>
      </w:r>
      <w:bookmarkStart w:id="291" w:name="_Toc296503087"/>
      <w:bookmarkStart w:id="292" w:name="_Toc337558791"/>
      <w:bookmarkStart w:id="293" w:name="_Toc296346588"/>
      <w:r>
        <w:rPr>
          <w:rFonts w:hint="eastAsia" w:asciiTheme="minorEastAsia" w:hAnsiTheme="minorEastAsia" w:eastAsiaTheme="minorEastAsia" w:cstheme="minorEastAsia"/>
          <w:color w:val="000000"/>
          <w:szCs w:val="24"/>
        </w:rPr>
        <w:t>0.4变更估价</w:t>
      </w:r>
      <w:bookmarkEnd w:id="290"/>
    </w:p>
    <w:bookmarkEnd w:id="291"/>
    <w:bookmarkEnd w:id="292"/>
    <w:bookmarkEnd w:id="293"/>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10.4.1 变更估价原则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除专用合同条款另有约定外，变更估价按照本款约定处理：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（1）已标价工程量清单或预算书有相同项目的，按照相同项目单价认定；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（2）已标价工程量清单或预算书中无相同项目，但有类似项目的，参照类似项目的单价认定；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10.4.2 变更估价程序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因变更引起的价格调整应计入最近一期的进度款中支付。</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294" w:name="_Toc31424"/>
      <w:r>
        <w:rPr>
          <w:rFonts w:hint="eastAsia" w:asciiTheme="minorEastAsia" w:hAnsiTheme="minorEastAsia" w:eastAsiaTheme="minorEastAsia" w:cstheme="minorEastAsia"/>
          <w:color w:val="000000"/>
          <w:szCs w:val="24"/>
        </w:rPr>
        <w:t>1</w:t>
      </w:r>
      <w:bookmarkStart w:id="295" w:name="_Toc296503094"/>
      <w:bookmarkStart w:id="296" w:name="_Toc337558792"/>
      <w:bookmarkStart w:id="297" w:name="_Toc296346595"/>
      <w:r>
        <w:rPr>
          <w:rFonts w:hint="eastAsia" w:asciiTheme="minorEastAsia" w:hAnsiTheme="minorEastAsia" w:eastAsiaTheme="minorEastAsia" w:cstheme="minorEastAsia"/>
          <w:color w:val="000000"/>
          <w:szCs w:val="24"/>
        </w:rPr>
        <w:t>0.5承包人的合理化建议</w:t>
      </w:r>
      <w:bookmarkEnd w:id="294"/>
    </w:p>
    <w:bookmarkEnd w:id="295"/>
    <w:bookmarkEnd w:id="296"/>
    <w:bookmarkEnd w:id="297"/>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承包人提出合理化建议的，应向监理人提交合理化建议说明，说明建议的内容和理由，以及实施该建议对合同价格和工期的影响。</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合理化建议降低了合同价格或者提高了工程经济效益的，发包人可对承包人给予奖励，奖励的方法和金额在专用合同条款中约定。</w:t>
      </w:r>
    </w:p>
    <w:p>
      <w:pPr>
        <w:pageBreakBefore w:val="0"/>
        <w:widowControl w:val="0"/>
        <w:kinsoku/>
        <w:wordWrap/>
        <w:overflowPunct/>
        <w:topLinePunct w:val="0"/>
        <w:autoSpaceDE w:val="0"/>
        <w:autoSpaceDN w:val="0"/>
        <w:bidi w:val="0"/>
        <w:adjustRightInd w:val="0"/>
        <w:spacing w:before="120" w:after="120" w:line="480" w:lineRule="exact"/>
        <w:ind w:firstLineChars="200"/>
        <w:jc w:val="left"/>
        <w:outlineLvl w:val="2"/>
        <w:rPr>
          <w:rFonts w:hint="eastAsia" w:asciiTheme="minorEastAsia" w:hAnsiTheme="minorEastAsia" w:eastAsiaTheme="minorEastAsia" w:cstheme="minorEastAsia"/>
          <w:color w:val="000000"/>
          <w:sz w:val="24"/>
          <w:szCs w:val="24"/>
        </w:rPr>
      </w:pPr>
      <w:bookmarkStart w:id="298" w:name="_Toc8995"/>
      <w:r>
        <w:rPr>
          <w:rStyle w:val="35"/>
          <w:rFonts w:hint="eastAsia" w:asciiTheme="minorEastAsia" w:hAnsiTheme="minorEastAsia" w:eastAsiaTheme="minorEastAsia" w:cstheme="minorEastAsia"/>
          <w:b w:val="0"/>
          <w:bCs w:val="0"/>
          <w:color w:val="000000"/>
          <w:kern w:val="0"/>
          <w:sz w:val="24"/>
          <w:szCs w:val="24"/>
        </w:rPr>
        <w:t>1</w:t>
      </w:r>
      <w:bookmarkStart w:id="299" w:name="_Toc337558793"/>
      <w:r>
        <w:rPr>
          <w:rStyle w:val="35"/>
          <w:rFonts w:hint="eastAsia" w:asciiTheme="minorEastAsia" w:hAnsiTheme="minorEastAsia" w:eastAsiaTheme="minorEastAsia" w:cstheme="minorEastAsia"/>
          <w:b w:val="0"/>
          <w:bCs w:val="0"/>
          <w:color w:val="000000"/>
          <w:kern w:val="0"/>
          <w:sz w:val="24"/>
          <w:szCs w:val="24"/>
        </w:rPr>
        <w:t>0.6变更引起的工期调整</w:t>
      </w:r>
      <w:bookmarkEnd w:id="298"/>
      <w:r>
        <w:rPr>
          <w:rStyle w:val="35"/>
          <w:rFonts w:hint="eastAsia" w:asciiTheme="minorEastAsia" w:hAnsiTheme="minorEastAsia" w:eastAsiaTheme="minorEastAsia" w:cstheme="minorEastAsia"/>
          <w:b w:val="0"/>
          <w:bCs w:val="0"/>
          <w:color w:val="000000"/>
          <w:kern w:val="0"/>
          <w:sz w:val="24"/>
          <w:szCs w:val="24"/>
        </w:rPr>
        <w:t xml:space="preserve"> </w:t>
      </w:r>
      <w:bookmarkEnd w:id="299"/>
      <w:r>
        <w:rPr>
          <w:rFonts w:hint="eastAsia" w:asciiTheme="minorEastAsia" w:hAnsiTheme="minorEastAsia" w:eastAsiaTheme="minorEastAsia" w:cstheme="minorEastAsia"/>
          <w:b w:val="0"/>
          <w:color w:val="000000"/>
          <w:sz w:val="24"/>
          <w:szCs w:val="24"/>
        </w:rPr>
        <w:t xml:space="preserve"> </w:t>
      </w:r>
      <w:r>
        <w:rPr>
          <w:rFonts w:hint="eastAsia" w:asciiTheme="minorEastAsia" w:hAnsiTheme="minorEastAsia" w:eastAsiaTheme="minorEastAsia" w:cstheme="minorEastAsia"/>
          <w:color w:val="000000"/>
          <w:sz w:val="24"/>
          <w:szCs w:val="24"/>
        </w:rPr>
        <w:t xml:space="preserve">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因变更引起工期变化的，合同当事人均可要求调整合同工期，由合同当事人按照第4.4款〔商定或确定〕并参考工程所在地的工期定额标准确定增减工期天数。</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00" w:name="_Toc16828"/>
      <w:r>
        <w:rPr>
          <w:rFonts w:hint="eastAsia" w:asciiTheme="minorEastAsia" w:hAnsiTheme="minorEastAsia" w:eastAsiaTheme="minorEastAsia" w:cstheme="minorEastAsia"/>
          <w:color w:val="000000"/>
          <w:szCs w:val="24"/>
        </w:rPr>
        <w:t>10.7暂估价</w:t>
      </w:r>
      <w:bookmarkEnd w:id="300"/>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暂估价专业分包工程、服务、材料和工程设备的明细由合同当事人在专用合同条款中约定。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10.7.1</w:t>
      </w:r>
      <w:r>
        <w:rPr>
          <w:rFonts w:hint="eastAsia" w:asciiTheme="minorEastAsia" w:hAnsiTheme="minorEastAsia" w:eastAsiaTheme="minorEastAsia" w:cstheme="minorEastAsia"/>
          <w:color w:val="000000"/>
          <w:kern w:val="0"/>
          <w:sz w:val="24"/>
          <w:szCs w:val="24"/>
        </w:rPr>
        <w:t xml:space="preserve"> 依法必须招标的暂估价项目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对于依法必须招标的暂估价项目，采取以下第1种方式确定。合同当事人也可以在专用合同条款中选择其他招标方式。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第1种方式：对于依法必须招标的暂估价项目，由承包人招标，对该暂估价项目的确认和批准按照以下约定执行：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kern w:val="0"/>
          <w:sz w:val="24"/>
          <w:szCs w:val="24"/>
        </w:rPr>
        <w:t>（</w:t>
      </w:r>
      <w:r>
        <w:rPr>
          <w:rFonts w:hint="eastAsia" w:asciiTheme="minorEastAsia" w:hAnsiTheme="minorEastAsia" w:eastAsiaTheme="minorEastAsia" w:cstheme="minorEastAsia"/>
          <w:color w:val="000000"/>
          <w:kern w:val="0"/>
          <w:sz w:val="24"/>
          <w:szCs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10.7.2</w:t>
      </w:r>
      <w:r>
        <w:rPr>
          <w:rFonts w:hint="eastAsia" w:asciiTheme="minorEastAsia" w:hAnsiTheme="minorEastAsia" w:eastAsiaTheme="minorEastAsia" w:cstheme="minorEastAsia"/>
          <w:color w:val="000000"/>
          <w:kern w:val="0"/>
          <w:sz w:val="24"/>
          <w:szCs w:val="24"/>
        </w:rPr>
        <w:t>不属于依法必须招标的暂估价项目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除专用合同条款另有约定外，对于不属于依法必须招标的暂估价项目，采取以下第1种方式确定： </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第1种方式：对于不属于依法必须招标的暂估价项目，按本项约定确认和批准：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（2）发包人认为承包人确定的供应商、分包人无法满足工程质量或合同要求的，发包人可以要求承包人重新确定暂估价项目的供应商、分包人;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（3）承包人应当在签订暂估价合同后7天内，将暂估价合同副本报送发包人留存。</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第2种方式：承包人按照第10.7.1项〔依法必须招标的暂估价项目〕约定的第1种方式确定暂估价项目。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第3种方式：</w:t>
      </w:r>
      <w:r>
        <w:rPr>
          <w:rFonts w:hint="eastAsia" w:asciiTheme="minorEastAsia" w:hAnsiTheme="minorEastAsia" w:eastAsiaTheme="minorEastAsia" w:cstheme="minorEastAsia"/>
          <w:color w:val="000000"/>
          <w:kern w:val="0"/>
          <w:sz w:val="24"/>
          <w:szCs w:val="24"/>
        </w:rPr>
        <w:t>承包人直接实施的暂估价项目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承包人具备实施暂估价项目的资格和条件的，经发包人和承包人协商一致后，可由承包人自行实施暂估价项目，合同当事人可以在专用合同条款约定具体事项。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01" w:name="_Toc28632"/>
      <w:r>
        <w:rPr>
          <w:rFonts w:hint="eastAsia" w:asciiTheme="minorEastAsia" w:hAnsiTheme="minorEastAsia" w:eastAsiaTheme="minorEastAsia" w:cstheme="minorEastAsia"/>
          <w:b/>
          <w:bCs/>
          <w:color w:val="000000"/>
          <w:szCs w:val="24"/>
        </w:rPr>
        <w:t>1</w:t>
      </w:r>
      <w:bookmarkStart w:id="302" w:name="_Toc337558794"/>
      <w:bookmarkStart w:id="303" w:name="_Toc296346591"/>
      <w:bookmarkStart w:id="304" w:name="_Toc296503090"/>
      <w:bookmarkStart w:id="305" w:name="_Toc322522561"/>
      <w:r>
        <w:rPr>
          <w:rFonts w:hint="eastAsia" w:asciiTheme="minorEastAsia" w:hAnsiTheme="minorEastAsia" w:eastAsiaTheme="minorEastAsia" w:cstheme="minorEastAsia"/>
          <w:b/>
          <w:bCs/>
          <w:color w:val="000000"/>
          <w:szCs w:val="24"/>
        </w:rPr>
        <w:t>0.8暂列金额</w:t>
      </w:r>
      <w:bookmarkEnd w:id="301"/>
    </w:p>
    <w:bookmarkEnd w:id="302"/>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暂列金额应按照发包人的要求使用，发包人的要求应通过监理人发出。合同当事人可以在专用合同条款中协商确定有关事项。</w:t>
      </w:r>
    </w:p>
    <w:bookmarkEnd w:id="303"/>
    <w:bookmarkEnd w:id="304"/>
    <w:bookmarkEnd w:id="305"/>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06" w:name="_Toc5178"/>
      <w:r>
        <w:rPr>
          <w:rFonts w:hint="eastAsia" w:asciiTheme="minorEastAsia" w:hAnsiTheme="minorEastAsia" w:eastAsiaTheme="minorEastAsia" w:cstheme="minorEastAsia"/>
          <w:color w:val="000000"/>
          <w:szCs w:val="24"/>
        </w:rPr>
        <w:t>1</w:t>
      </w:r>
      <w:bookmarkStart w:id="307" w:name="_Toc296503091"/>
      <w:bookmarkStart w:id="308" w:name="_Toc337558796"/>
      <w:bookmarkStart w:id="309" w:name="_Toc296346592"/>
      <w:r>
        <w:rPr>
          <w:rFonts w:hint="eastAsia" w:asciiTheme="minorEastAsia" w:hAnsiTheme="minorEastAsia" w:eastAsiaTheme="minorEastAsia" w:cstheme="minorEastAsia"/>
          <w:color w:val="000000"/>
          <w:szCs w:val="24"/>
        </w:rPr>
        <w:t>0.9计日工</w:t>
      </w:r>
      <w:bookmarkEnd w:id="306"/>
      <w:r>
        <w:rPr>
          <w:rFonts w:hint="eastAsia" w:asciiTheme="minorEastAsia" w:hAnsiTheme="minorEastAsia" w:eastAsiaTheme="minorEastAsia" w:cstheme="minorEastAsia"/>
          <w:color w:val="000000"/>
          <w:szCs w:val="24"/>
        </w:rPr>
        <w:t xml:space="preserve"> </w:t>
      </w:r>
      <w:bookmarkEnd w:id="307"/>
      <w:bookmarkEnd w:id="308"/>
      <w:bookmarkEnd w:id="309"/>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采用计日工计价的任何一项工作，承包人应在该项工作实施过程中，每天提交以下报表和有关凭证报送监理人审查：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（1）工作名称、内容和数量；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（2）投入该工作的所有人员的姓名、专业、工种、级别和耗用工时；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（3）投入该工作的材料类别和数量；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（4）投入该工作的施工设备型号、台数和耗用台时；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（5）其他有关资料和凭证。</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计日工由承包人汇总后，列入最近一期进度付款申请单，由监理人审查并经发包人批准后列入进度付款。</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10" w:name="_Toc30113"/>
      <w:r>
        <w:rPr>
          <w:rFonts w:hint="eastAsia" w:asciiTheme="minorEastAsia" w:hAnsiTheme="minorEastAsia" w:eastAsiaTheme="minorEastAsia" w:cstheme="minorEastAsia"/>
          <w:b/>
          <w:bCs/>
          <w:color w:val="000000"/>
          <w:szCs w:val="24"/>
        </w:rPr>
        <w:t>11. 价格调整</w:t>
      </w:r>
      <w:bookmarkEnd w:id="310"/>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11" w:name="_Toc5561"/>
      <w:bookmarkStart w:id="312" w:name="_Toc337558797"/>
      <w:bookmarkStart w:id="313" w:name="_Toc296346593"/>
      <w:bookmarkStart w:id="314" w:name="_Toc296503092"/>
      <w:r>
        <w:rPr>
          <w:rFonts w:hint="eastAsia" w:asciiTheme="minorEastAsia" w:hAnsiTheme="minorEastAsia" w:eastAsiaTheme="minorEastAsia" w:cstheme="minorEastAsia"/>
          <w:b/>
          <w:bCs/>
          <w:color w:val="000000"/>
          <w:szCs w:val="24"/>
        </w:rPr>
        <w:t>11.1市场价格波动引起的调整</w:t>
      </w:r>
      <w:bookmarkEnd w:id="311"/>
    </w:p>
    <w:bookmarkEnd w:id="312"/>
    <w:bookmarkEnd w:id="313"/>
    <w:bookmarkEnd w:id="314"/>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第1种方式：采用价格指数进行价格调整。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（1）价格调整公式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因人工、材料和设备等价格波动影响合同价格时，根据专用合同条款中约定的数据，按以下公式计算差额并调整合同价格：</w:t>
      </w:r>
    </w:p>
    <w:p>
      <w:pPr>
        <w:keepNext w:val="0"/>
        <w:keepLines w:val="0"/>
        <w:pageBreakBefore w:val="0"/>
        <w:widowControl w:val="0"/>
        <w:kinsoku/>
        <w:wordWrap/>
        <w:overflowPunct/>
        <w:topLinePunct w:val="0"/>
        <w:autoSpaceDE w:val="0"/>
        <w:autoSpaceDN w:val="0"/>
        <w:bidi w:val="0"/>
        <w:adjustRightInd w:val="0"/>
        <w:snapToGrid/>
        <w:spacing w:before="0" w:beforeLines="-2147483648" w:after="0" w:afterLines="-2147483648" w:line="48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0"/>
          <w:sz w:val="24"/>
          <w:szCs w:val="24"/>
        </w:rPr>
        <w:object>
          <v:shape id="_x0000_i1025" o:spt="75" type="#_x0000_t75" style="height:43.9pt;width:359.85pt;" o:ole="t" filled="f" stroked="f" coordsize="21600,21600">
            <v:path/>
            <v:fill on="f" focussize="0,0"/>
            <v:stroke on="f"/>
            <v:imagedata r:id="rId17" o:title=""/>
            <o:lock v:ext="edit" grouping="f" rotation="f" text="f" aspectratio="t"/>
            <w10:wrap type="none"/>
            <w10:anchorlock/>
          </v:shape>
          <o:OLEObject Type="Embed" ProgID="Equation.KSEE3" ShapeID="_x0000_i1025" DrawAspect="Content" ObjectID="_1468075725" r:id="rId16">
            <o:LockedField>false</o:LockedField>
          </o:OLEObject>
        </w:objec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公式中：ΔP——需调整的价格差额；</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0"/>
          <w:sz w:val="24"/>
          <w:szCs w:val="24"/>
        </w:rPr>
        <w:object>
          <v:shape id="_x0000_i1026" o:spt="75" type="#_x0000_t75" style="height:17.95pt;width:17.95pt;" o:ole="t" filled="f" stroked="f" coordsize="21600,21600">
            <v:path/>
            <v:fill on="f" focussize="0,0"/>
            <v:stroke on="f"/>
            <v:imagedata r:id="rId19" o:title=""/>
            <o:lock v:ext="edit" grouping="f" rotation="f" text="f" aspectratio="t"/>
            <w10:wrap type="none"/>
            <w10:anchorlock/>
          </v:shape>
          <o:OLEObject Type="Embed" ProgID="Equation.KSEE3" ShapeID="_x0000_i1026" DrawAspect="Content" ObjectID="_1468075726" r:id="rId18">
            <o:LockedField>false</o:LockedField>
          </o:OLEObject>
        </w:object>
      </w:r>
      <w:r>
        <w:rPr>
          <w:rFonts w:hint="eastAsia" w:asciiTheme="minorEastAsia" w:hAnsiTheme="minorEastAsia" w:eastAsiaTheme="minorEastAsia" w:cstheme="minorEastAsia"/>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A——定值权重（即不调部分的权重）；</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0"/>
          <w:sz w:val="24"/>
          <w:szCs w:val="24"/>
        </w:rPr>
        <w:object>
          <v:shape id="_x0000_i1027" o:spt="75" type="#_x0000_t75" style="height:21.05pt;width:101pt;" o:ole="t" filled="f" stroked="f" coordsize="21600,21600">
            <v:path/>
            <v:fill on="f" focussize="0,0"/>
            <v:stroke on="f"/>
            <v:imagedata r:id="rId21" o:title=""/>
            <o:lock v:ext="edit" grouping="f" rotation="f" text="f" aspectratio="t"/>
            <w10:wrap type="none"/>
            <w10:anchorlock/>
          </v:shape>
          <o:OLEObject Type="Embed" ProgID="Equation.KSEE3" ShapeID="_x0000_i1027" DrawAspect="Content" ObjectID="_1468075727" r:id="rId20">
            <o:LockedField>false</o:LockedField>
          </o:OLEObject>
        </w:object>
      </w:r>
      <w:r>
        <w:rPr>
          <w:rFonts w:hint="eastAsia" w:asciiTheme="minorEastAsia" w:hAnsiTheme="minorEastAsia" w:eastAsiaTheme="minorEastAsia" w:cstheme="minorEastAsia"/>
          <w:color w:val="000000"/>
          <w:sz w:val="24"/>
          <w:szCs w:val="24"/>
        </w:rPr>
        <w:t>——各可调因子的变值权重（即可调部分的权重），为各可调因子在签约合同价中所占的比例；</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0"/>
          <w:sz w:val="24"/>
          <w:szCs w:val="24"/>
        </w:rPr>
        <w:object>
          <v:shape id="_x0000_i1028" o:spt="75" type="#_x0000_t75" style="height:20.6pt;width:102.05pt;" o:ole="t" filled="f" stroked="f" coordsize="21600,21600">
            <v:path/>
            <v:fill on="f" focussize="0,0"/>
            <v:stroke on="f"/>
            <v:imagedata r:id="rId23" o:title=""/>
            <o:lock v:ext="edit" grouping="f" rotation="f" text="f" aspectratio="t"/>
            <w10:wrap type="none"/>
            <w10:anchorlock/>
          </v:shape>
          <o:OLEObject Type="Embed" ProgID="Equation.KSEE3" ShapeID="_x0000_i1028" DrawAspect="Content" ObjectID="_1468075728" r:id="rId22">
            <o:LockedField>false</o:LockedField>
          </o:OLEObject>
        </w:object>
      </w:r>
      <w:r>
        <w:rPr>
          <w:rFonts w:hint="eastAsia" w:asciiTheme="minorEastAsia" w:hAnsiTheme="minorEastAsia" w:eastAsiaTheme="minorEastAsia" w:cstheme="minorEastAsia"/>
          <w:color w:val="000000"/>
          <w:sz w:val="24"/>
          <w:szCs w:val="24"/>
        </w:rPr>
        <w:t>——各可调因子的现行价格指数，指约定的付款证书相关周期最后一天的前42天的各可调因子的价格指数；</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0"/>
          <w:sz w:val="24"/>
          <w:szCs w:val="24"/>
        </w:rPr>
        <w:object>
          <v:shape id="_x0000_i1029" o:spt="75" type="#_x0000_t75" style="height:20.2pt;width:108pt;" o:ole="t" filled="f" stroked="f" coordsize="21600,21600">
            <v:path/>
            <v:fill on="f" focussize="0,0"/>
            <v:stroke on="f"/>
            <v:imagedata r:id="rId25" o:title=""/>
            <o:lock v:ext="edit" grouping="f" rotation="f" text="f" aspectratio="t"/>
            <w10:wrap type="none"/>
            <w10:anchorlock/>
          </v:shape>
          <o:OLEObject Type="Embed" ProgID="Equation.KSEE3" ShapeID="_x0000_i1029" DrawAspect="Content" ObjectID="_1468075729" r:id="rId24">
            <o:LockedField>false</o:LockedField>
          </o:OLEObject>
        </w:object>
      </w:r>
      <w:r>
        <w:rPr>
          <w:rFonts w:hint="eastAsia" w:asciiTheme="minorEastAsia" w:hAnsiTheme="minorEastAsia" w:eastAsiaTheme="minorEastAsia" w:cstheme="minorEastAsia"/>
          <w:color w:val="000000"/>
          <w:sz w:val="24"/>
          <w:szCs w:val="24"/>
        </w:rPr>
        <w:t>——各可调因子的基本价格指数，指基准日期的各可调因子的价格指数。</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（2）暂时确定调整差额</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在计算调整差额时无现行价格指数的，合同当事人同意暂用前次价格指数计算。实际价格指数有调整的，合同当事人进行相应调整。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（3）权重的调整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因变更导致合同约定的权重不合理时，按照第4.4款〔商定或确定〕执行。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（4）因承包人原因工期延误后的价格调整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第2种方式：采用造价信息进行价格调整。</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（2）材料、工程设备价格变化的价款调整按照发包人提供的基准价格，按以下风险范围规定执行: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bookmarkStart w:id="315" w:name="OLE_LINK3"/>
      <w:r>
        <w:rPr>
          <w:rFonts w:hint="eastAsia" w:asciiTheme="minorEastAsia" w:hAnsiTheme="minorEastAsia" w:eastAsiaTheme="minorEastAsia" w:cstheme="minorEastAsia"/>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（3）施工机械台班单价或施工机械使用费发生变化超过省级或行业建设主管部门或其授权的工程造价管理机构规定的范围时，按规定调整合同价格。</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第3种方式：专用合同条款约定的其他方式。</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16" w:name="_Toc6325"/>
      <w:bookmarkStart w:id="317" w:name="_Toc296503093"/>
      <w:bookmarkStart w:id="318" w:name="_Toc296346594"/>
      <w:bookmarkStart w:id="319" w:name="_Toc337558798"/>
      <w:r>
        <w:rPr>
          <w:rFonts w:hint="eastAsia" w:asciiTheme="minorEastAsia" w:hAnsiTheme="minorEastAsia" w:eastAsiaTheme="minorEastAsia" w:cstheme="minorEastAsia"/>
          <w:color w:val="000000"/>
          <w:szCs w:val="24"/>
        </w:rPr>
        <w:t>11.2法律变化引起的调整</w:t>
      </w:r>
      <w:bookmarkEnd w:id="316"/>
    </w:p>
    <w:bookmarkEnd w:id="317"/>
    <w:bookmarkEnd w:id="318"/>
    <w:bookmarkEnd w:id="319"/>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因法律变化引起的合同价格和工期调整，合同当事人无法达成一致的，由总监理工程师按第4.4款〔商定或确定〕的约定处理。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因承包人原因造成工期延误，在工期延误期间出现法律变化的，由此增加的费用和（或）延误的工期由承包人承担。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20" w:name="_Toc5475"/>
      <w:bookmarkStart w:id="321" w:name="_Toc337558799"/>
      <w:bookmarkStart w:id="322" w:name="_Toc296503096"/>
      <w:bookmarkStart w:id="323" w:name="_Toc296346597"/>
      <w:r>
        <w:rPr>
          <w:rFonts w:hint="eastAsia" w:asciiTheme="minorEastAsia" w:hAnsiTheme="minorEastAsia" w:eastAsiaTheme="minorEastAsia" w:cstheme="minorEastAsia"/>
          <w:b/>
          <w:bCs/>
          <w:color w:val="000000"/>
          <w:szCs w:val="24"/>
        </w:rPr>
        <w:t>12. 合同价格、计量与支付</w:t>
      </w:r>
      <w:bookmarkEnd w:id="320"/>
    </w:p>
    <w:bookmarkEnd w:id="321"/>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24" w:name="_Toc16424"/>
      <w:bookmarkStart w:id="325" w:name="_Toc337558800"/>
      <w:r>
        <w:rPr>
          <w:rFonts w:hint="eastAsia" w:asciiTheme="minorEastAsia" w:hAnsiTheme="minorEastAsia" w:eastAsiaTheme="minorEastAsia" w:cstheme="minorEastAsia"/>
          <w:b/>
          <w:bCs/>
          <w:color w:val="000000"/>
          <w:szCs w:val="24"/>
        </w:rPr>
        <w:t>12.1 合同价</w:t>
      </w:r>
      <w:bookmarkEnd w:id="322"/>
      <w:bookmarkEnd w:id="323"/>
      <w:r>
        <w:rPr>
          <w:rFonts w:hint="eastAsia" w:asciiTheme="minorEastAsia" w:hAnsiTheme="minorEastAsia" w:eastAsiaTheme="minorEastAsia" w:cstheme="minorEastAsia"/>
          <w:b/>
          <w:bCs/>
          <w:color w:val="000000"/>
          <w:szCs w:val="24"/>
        </w:rPr>
        <w:t>格形式</w:t>
      </w:r>
      <w:bookmarkEnd w:id="324"/>
    </w:p>
    <w:bookmarkEnd w:id="325"/>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发包人和承包人应在合同协议书中选择下列一种合同价格形式：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1.单价合同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单价合同是指合同当事人约定以工程量清单及其综合单价进行合同价格计算、调整和确认的建设工程施工合同，</w:t>
      </w:r>
      <w:r>
        <w:rPr>
          <w:rFonts w:hint="eastAsia" w:asciiTheme="minorEastAsia" w:hAnsiTheme="minorEastAsia" w:eastAsiaTheme="minorEastAsia" w:cstheme="minorEastAsia"/>
          <w:color w:val="000000"/>
          <w:sz w:val="24"/>
          <w:szCs w:val="24"/>
        </w:rPr>
        <w:t>在约定的范围内合同单价不作调整</w:t>
      </w:r>
      <w:r>
        <w:rPr>
          <w:rFonts w:hint="eastAsia" w:asciiTheme="minorEastAsia" w:hAnsiTheme="minorEastAsia" w:eastAsiaTheme="minorEastAsia" w:cstheme="minorEastAsia"/>
          <w:color w:val="000000"/>
          <w:kern w:val="0"/>
          <w:sz w:val="24"/>
          <w:szCs w:val="24"/>
        </w:rPr>
        <w:t>。合同当事人应在专用合同条款中约定综合单价包含的风险范围和风险费用的计算方法</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kern w:val="0"/>
          <w:sz w:val="24"/>
          <w:szCs w:val="24"/>
        </w:rPr>
        <w:t>并约定风险范围以外的合同价格的调整方法，其中因市场价格波动引起的调整按第11.1款〔市场价格波动引起的调整〕约定执行。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2.总价合同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总价合同是指合同当事人约定以施工图、已标价工程量清单或预算书及有关条件进行合同价格计算、调整和确认的建设工程施工合同，</w:t>
      </w:r>
      <w:r>
        <w:rPr>
          <w:rFonts w:hint="eastAsia" w:asciiTheme="minorEastAsia" w:hAnsiTheme="minorEastAsia" w:eastAsiaTheme="minorEastAsia" w:cstheme="minorEastAsia"/>
          <w:color w:val="000000"/>
          <w:sz w:val="24"/>
          <w:szCs w:val="24"/>
        </w:rPr>
        <w:t>在约定的范围内合同总价不作调整</w:t>
      </w:r>
      <w:r>
        <w:rPr>
          <w:rFonts w:hint="eastAsia" w:asciiTheme="minorEastAsia" w:hAnsiTheme="minorEastAsia" w:eastAsiaTheme="minorEastAsia" w:cstheme="minorEastAsia"/>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3.其它价格形式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合同当事人可在专用合同条款中约定其他合同价格形式。</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26" w:name="_Toc296346598"/>
      <w:bookmarkStart w:id="327" w:name="_Toc296503097"/>
      <w:bookmarkStart w:id="328" w:name="_Toc2142"/>
      <w:bookmarkStart w:id="329" w:name="_Toc337558801"/>
      <w:r>
        <w:rPr>
          <w:rFonts w:hint="eastAsia" w:asciiTheme="minorEastAsia" w:hAnsiTheme="minorEastAsia" w:eastAsiaTheme="minorEastAsia" w:cstheme="minorEastAsia"/>
          <w:color w:val="000000"/>
          <w:szCs w:val="24"/>
        </w:rPr>
        <w:t>12.2预</w:t>
      </w:r>
      <w:bookmarkEnd w:id="326"/>
      <w:bookmarkEnd w:id="327"/>
      <w:bookmarkStart w:id="330" w:name="_Toc296503100"/>
      <w:bookmarkStart w:id="331" w:name="_Toc296346601"/>
      <w:r>
        <w:rPr>
          <w:rFonts w:hint="eastAsia" w:asciiTheme="minorEastAsia" w:hAnsiTheme="minorEastAsia" w:eastAsiaTheme="minorEastAsia" w:cstheme="minorEastAsia"/>
          <w:color w:val="000000"/>
          <w:szCs w:val="24"/>
        </w:rPr>
        <w:t>付款</w:t>
      </w:r>
      <w:bookmarkEnd w:id="328"/>
    </w:p>
    <w:bookmarkEnd w:id="329"/>
    <w:bookmarkEnd w:id="330"/>
    <w:bookmarkEnd w:id="331"/>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12.2.</w:t>
      </w:r>
      <w:r>
        <w:rPr>
          <w:rFonts w:hint="eastAsia" w:asciiTheme="minorEastAsia" w:hAnsiTheme="minorEastAsia" w:eastAsiaTheme="minorEastAsia" w:cstheme="minorEastAsia"/>
          <w:color w:val="000000"/>
          <w:kern w:val="0"/>
          <w:sz w:val="24"/>
          <w:szCs w:val="24"/>
        </w:rPr>
        <w:t>1预付款的支付</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除专用合同条款另有约定外，预付款在进度付款中同比例扣回。</w:t>
      </w:r>
      <w:bookmarkEnd w:id="315"/>
      <w:r>
        <w:rPr>
          <w:rFonts w:hint="eastAsia" w:asciiTheme="minorEastAsia" w:hAnsiTheme="minorEastAsia" w:eastAsiaTheme="minorEastAsia" w:cstheme="minorEastAsia"/>
          <w:color w:val="000000"/>
          <w:kern w:val="0"/>
          <w:sz w:val="24"/>
          <w:szCs w:val="24"/>
        </w:rPr>
        <w:t>在颁发工程接收证书前，提前解除合同的，尚未扣完的预付款应与合同价款一并结算。</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12.2.2 预付款担保</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发包人在工程款中逐期扣回预付款后，预付款担保额度应相应减少，但剩余的预付款担保金额不得低于未被扣回的预付款金额。</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32" w:name="_Toc5467"/>
      <w:bookmarkStart w:id="333" w:name="_Toc337558802"/>
      <w:r>
        <w:rPr>
          <w:rFonts w:hint="eastAsia" w:asciiTheme="minorEastAsia" w:hAnsiTheme="minorEastAsia" w:eastAsiaTheme="minorEastAsia" w:cstheme="minorEastAsia"/>
          <w:color w:val="000000"/>
          <w:szCs w:val="24"/>
        </w:rPr>
        <w:t>12.3计量</w:t>
      </w:r>
      <w:bookmarkEnd w:id="332"/>
    </w:p>
    <w:bookmarkEnd w:id="333"/>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12.3.1 计量原则</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12.3.2 计量周期</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除专用合同条款另有约定外，工程量的计量按月进行。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12.3.3 单价合同的计量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除专用合同条款另有约定外，单价合同的计量按照本项约定执行：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（1）承包人应于每月25日向监理人报送上月20日至当月19日已完成的工程量报告，并附具进度付款申请单、已完成工程量报表和有关资料。</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（3）监理人未在收到承包人提交的工程量报表后的7天内完成审核的，承包人报送的工程量报告中的工程量视为承包人实际完成的工程量，据此计算工程价款。</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12.3.4 总价合同的计量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除专用合同条款另有约定外，按月计量支付的总价合同，按照本项约定执行：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（1）承包人应于每月25日向监理人报送上月20日至当月19日已完成的工程量报告，并附具进度付款申请单、已完成工程量报表和有关资料。</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（3）监理人未在收到承包人提交的工程量报表后的7天内完成复核的，承包人提交的工程量报告中的工程量视为承包人实际完成的工程量。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12.3.5 总价合同采用支付分解表计量支付的，可以按照第12.3.4项〔总价合同的计量〕约定进行计量，但合同价款按照支付分解表进行支付。</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12.3.6 其他价格形式合同的计量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合同当事人可在专用合同条款中约定其他价格形式合同的计量方式和程序。</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34" w:name="_Toc296346602"/>
      <w:bookmarkStart w:id="335" w:name="_Toc296503101"/>
      <w:bookmarkStart w:id="336" w:name="_Toc16379"/>
      <w:bookmarkStart w:id="337" w:name="_Toc337558803"/>
      <w:r>
        <w:rPr>
          <w:rFonts w:hint="eastAsia" w:asciiTheme="minorEastAsia" w:hAnsiTheme="minorEastAsia" w:eastAsiaTheme="minorEastAsia" w:cstheme="minorEastAsia"/>
          <w:color w:val="000000"/>
          <w:szCs w:val="24"/>
        </w:rPr>
        <w:t>12.4工程进度款支</w:t>
      </w:r>
      <w:bookmarkEnd w:id="334"/>
      <w:bookmarkEnd w:id="335"/>
      <w:r>
        <w:rPr>
          <w:rFonts w:hint="eastAsia" w:asciiTheme="minorEastAsia" w:hAnsiTheme="minorEastAsia" w:eastAsiaTheme="minorEastAsia" w:cstheme="minorEastAsia"/>
          <w:color w:val="000000"/>
          <w:szCs w:val="24"/>
        </w:rPr>
        <w:t>付</w:t>
      </w:r>
      <w:bookmarkEnd w:id="336"/>
    </w:p>
    <w:bookmarkEnd w:id="337"/>
    <w:p>
      <w:pPr>
        <w:pageBreakBefore w:val="0"/>
        <w:widowControl w:val="0"/>
        <w:kinsoku/>
        <w:wordWrap/>
        <w:overflowPunct/>
        <w:topLinePunct w:val="0"/>
        <w:autoSpaceDE w:val="0"/>
        <w:autoSpaceDN w:val="0"/>
        <w:bidi w:val="0"/>
        <w:adjustRightInd w:val="0"/>
        <w:spacing w:line="480" w:lineRule="exact"/>
        <w:ind w:firstLine="480" w:firstLineChars="200"/>
        <w:jc w:val="left"/>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.1 付款周期</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除专用合同条款另有约定外，付款周期应按照第12.3.2项〔计量周期〕的约定与计量周期保持一致。</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.2 进度付款申请单的编制</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除专用合同条款另有约定外，进度付款申请单应包括下列内容：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（1）截至本次付款周期已完成工作对应的金额；</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（2）根据第10条〔变更〕应增加和扣减的变更金额；</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（3）根据第12.2款〔预付款〕约定应支付的预付款和扣减的返还预付款；</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（4）根据第15.3款〔质量保证金〕约定应扣减的质量保证金；</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（5）根据第19条〔索赔〕应增加和扣减的索赔金额；</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（6）对已签发的进度款支付证书中出现错误的修正，应在本次进度付款中支付或扣除的金额；</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（7）根据合同约定应增加和扣减的其他金额。</w:t>
      </w:r>
    </w:p>
    <w:p>
      <w:pPr>
        <w:pageBreakBefore w:val="0"/>
        <w:widowControl w:val="0"/>
        <w:kinsoku/>
        <w:wordWrap/>
        <w:overflowPunct/>
        <w:topLinePunct w:val="0"/>
        <w:autoSpaceDE w:val="0"/>
        <w:autoSpaceDN w:val="0"/>
        <w:bidi w:val="0"/>
        <w:adjustRightInd w:val="0"/>
        <w:spacing w:line="480" w:lineRule="exact"/>
        <w:ind w:firstLine="480" w:firstLineChars="200"/>
        <w:jc w:val="left"/>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12.4.3 进度付款申请单的提交</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（1）单价合同进度付款申请单的提交</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（2）总价合同进度付款申请单的提交</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总价合同按月计量支付的，承包人按照第12.3.4项〔总价合同的计量〕约定的时间按月向监理人提交进度付款申请单，并附上已完成工程量报表和有关资料。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总价合同按支付分解表支付的，承包人应按照第12.4.6项〔支付分解表〕及第12.4.2项〔进度付款申请单的编制〕的约定向监理人提交进度付款申请单。</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（3）其他价格形式合同的进度付款申请单的提交</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合同当事人可在专用合同条款中约定其他价格形式合同的进度付款申请单的编制和提交程序。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.4 进度款审核和支付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（3）发包人签发进度款支付证书或临时进度款支付证书，不表明发包人已同意、批准或接受了承包人完成的相应部分的工作。</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12.4.5 进度付款的修正</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12.4.6 支付分解表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1.支付分解表的编制要求</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（1）支付分解表中所列的每期付款金额，应为第12.4.2项〔进度付款申请单的编制〕第（1）目的估算金额；</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（2）实际进度与施工进度计划不一致的，合同当事人可按照第4.4款〔商定或确定〕修改支付分解表；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（3）不采用支付分解表的，承包人应向发包人和监理人提交按季度编制的支付估算分解表，用于支付参考。</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2.总价合同支付分解表的编制与审批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kern w:val="0"/>
          <w:sz w:val="24"/>
          <w:szCs w:val="24"/>
        </w:rPr>
        <w:t>（</w:t>
      </w:r>
      <w:r>
        <w:rPr>
          <w:rFonts w:hint="eastAsia" w:asciiTheme="minorEastAsia" w:hAnsiTheme="minorEastAsia" w:eastAsiaTheme="minorEastAsia" w:cstheme="minorEastAsia"/>
          <w:color w:val="000000"/>
          <w:kern w:val="0"/>
          <w:sz w:val="24"/>
          <w:szCs w:val="24"/>
        </w:rPr>
        <w:t>3）发包人逾期未完成支付分解表审批的，也未及时要求承包人进行修正和提供补充资料的，则承包人提交的支付分解表视为已经获得发包人批准。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3.单价合同的总价项目支付分解表的编制与审批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38" w:name="_Toc1031"/>
      <w:r>
        <w:rPr>
          <w:rFonts w:hint="eastAsia" w:asciiTheme="minorEastAsia" w:hAnsiTheme="minorEastAsia" w:eastAsiaTheme="minorEastAsia" w:cstheme="minorEastAsia"/>
          <w:color w:val="000000"/>
          <w:szCs w:val="24"/>
        </w:rPr>
        <w:t>12.5支付账户</w:t>
      </w:r>
      <w:bookmarkEnd w:id="338"/>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发包人应将合同价款支付至合同协议书中约定的承包人账户。</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39" w:name="_Toc525"/>
      <w:bookmarkStart w:id="340" w:name="_Toc322522574"/>
      <w:bookmarkStart w:id="341" w:name="_Toc337558804"/>
      <w:bookmarkStart w:id="342" w:name="_Toc296503106"/>
      <w:bookmarkStart w:id="343" w:name="_Toc296346607"/>
      <w:r>
        <w:rPr>
          <w:rFonts w:hint="eastAsia" w:asciiTheme="minorEastAsia" w:hAnsiTheme="minorEastAsia" w:eastAsiaTheme="minorEastAsia" w:cstheme="minorEastAsia"/>
          <w:color w:val="000000"/>
          <w:szCs w:val="24"/>
        </w:rPr>
        <w:t>13. 验收和工程试车</w:t>
      </w:r>
      <w:bookmarkEnd w:id="339"/>
    </w:p>
    <w:bookmarkEnd w:id="340"/>
    <w:bookmarkEnd w:id="341"/>
    <w:bookmarkEnd w:id="342"/>
    <w:bookmarkEnd w:id="343"/>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44" w:name="_Toc10158"/>
      <w:bookmarkStart w:id="345" w:name="_Toc337558805"/>
      <w:bookmarkStart w:id="346" w:name="_Toc296503110"/>
      <w:bookmarkStart w:id="347" w:name="_Toc296346611"/>
      <w:r>
        <w:rPr>
          <w:rFonts w:hint="eastAsia" w:asciiTheme="minorEastAsia" w:hAnsiTheme="minorEastAsia" w:eastAsiaTheme="minorEastAsia" w:cstheme="minorEastAsia"/>
          <w:color w:val="000000"/>
          <w:szCs w:val="24"/>
        </w:rPr>
        <w:t>13.1分部分项工程验收</w:t>
      </w:r>
      <w:bookmarkEnd w:id="344"/>
    </w:p>
    <w:bookmarkEnd w:id="345"/>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13.1.1 分部分项工程质量应符合国家有关工程施工验收规范、标准及合同约定，承包人应按照施工组织设计的要求完成分部分项工程施工。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13.1.2 除专用合同条款另有约定外，分部分项工程经承包人自检合格并具备验收条件的，承包人应提前48小时通知监理人进行验收。</w:t>
      </w:r>
      <w:r>
        <w:rPr>
          <w:rFonts w:hint="eastAsia" w:asciiTheme="minorEastAsia" w:hAnsiTheme="minorEastAsia" w:eastAsiaTheme="minorEastAsia" w:cstheme="minorEastAsia"/>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Theme="minorEastAsia" w:hAnsiTheme="minorEastAsia" w:eastAsiaTheme="minorEastAsia" w:cstheme="minorEastAsia"/>
          <w:color w:val="000000"/>
          <w:sz w:val="24"/>
          <w:szCs w:val="24"/>
        </w:rPr>
        <w:t>分部分项工程未经验收的，不得进入下一道工序施工。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分部分项工程的验收资料应当作为竣工资料的组成部分。</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48" w:name="_Toc7458"/>
      <w:bookmarkStart w:id="349" w:name="_Toc337558806"/>
      <w:r>
        <w:rPr>
          <w:rFonts w:hint="eastAsia" w:asciiTheme="minorEastAsia" w:hAnsiTheme="minorEastAsia" w:eastAsiaTheme="minorEastAsia" w:cstheme="minorEastAsia"/>
          <w:color w:val="000000"/>
          <w:szCs w:val="24"/>
        </w:rPr>
        <w:t>13.2竣工验收</w:t>
      </w:r>
      <w:bookmarkEnd w:id="348"/>
    </w:p>
    <w:bookmarkEnd w:id="346"/>
    <w:bookmarkEnd w:id="347"/>
    <w:bookmarkEnd w:id="349"/>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13.2.1竣工验收条件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工程具备以下条件的，承包人可以申请竣工验收：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（1）除发包人同意的甩项工作和缺陷修补工作外，合同范围内的全部工程以及有关工作，包括合同要求的试验、试运行以及检验均已完成，并符合合同要求；</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（2）已按合同约定编制了甩项工作和缺陷修补工作清单以及相应的施工计划；</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（3）已按合同约定的内容和份数备齐竣工资料。</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13.2.2竣工验收程序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除专用合同条款另有约定外，承包人申请竣工验收的，应当按照以下程序进行：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13.2.3竣工日期</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50" w:name="#go14"/>
      <w:bookmarkEnd w:id="350"/>
      <w:r>
        <w:rPr>
          <w:rFonts w:hint="eastAsia" w:asciiTheme="minorEastAsia" w:hAnsiTheme="minorEastAsia" w:eastAsiaTheme="minorEastAsia" w:cstheme="minorEastAsia"/>
          <w:color w:val="000000"/>
          <w:kern w:val="0"/>
          <w:sz w:val="24"/>
          <w:szCs w:val="24"/>
        </w:rPr>
        <w:t>收申请报告的日期为实际竣工日期；工程未经竣工验收，发包人擅自使用的，以转移占有工程之日为实际竣工日期。</w:t>
      </w:r>
    </w:p>
    <w:p>
      <w:pPr>
        <w:pageBreakBefore w:val="0"/>
        <w:widowControl w:val="0"/>
        <w:kinsoku/>
        <w:wordWrap/>
        <w:overflowPunct/>
        <w:topLinePunct w:val="0"/>
        <w:autoSpaceDE w:val="0"/>
        <w:autoSpaceDN w:val="0"/>
        <w:bidi w:val="0"/>
        <w:adjustRightInd w:val="0"/>
        <w:spacing w:line="480" w:lineRule="exact"/>
        <w:ind w:firstLine="480" w:firstLineChars="200"/>
        <w:jc w:val="left"/>
        <w:outlineLvl w:val="9"/>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13.2.4 拒绝接收全部或部分工程</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13.2.5 移交、接收全部与部分工程</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除专用合同条款另有约定外，合同当事人应当在颁发工程接收证书后7天内完成工程的移交。</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51" w:name="_Toc31086"/>
      <w:bookmarkStart w:id="352" w:name="_Toc337558807"/>
      <w:bookmarkStart w:id="353" w:name="_Toc296503111"/>
      <w:bookmarkStart w:id="354" w:name="_Toc296346612"/>
      <w:r>
        <w:rPr>
          <w:rFonts w:hint="eastAsia" w:asciiTheme="minorEastAsia" w:hAnsiTheme="minorEastAsia" w:eastAsiaTheme="minorEastAsia" w:cstheme="minorEastAsia"/>
          <w:b/>
          <w:bCs/>
          <w:color w:val="000000"/>
          <w:szCs w:val="24"/>
        </w:rPr>
        <w:t>13.3工程试车</w:t>
      </w:r>
      <w:bookmarkEnd w:id="351"/>
    </w:p>
    <w:bookmarkEnd w:id="352"/>
    <w:bookmarkEnd w:id="353"/>
    <w:bookmarkEnd w:id="354"/>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13.3.1试车程序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工程需要试车的，除专用合同条款另有约定外，试车内容应与承包人承包范围相一致，试车费用由承包人承担。工程试车应按如下程序进行：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13.3.2 试车中的责任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13.3.3 投料试车</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ageBreakBefore w:val="0"/>
        <w:widowControl w:val="0"/>
        <w:kinsoku/>
        <w:wordWrap/>
        <w:overflowPunct/>
        <w:topLinePunct w:val="0"/>
        <w:autoSpaceDE w:val="0"/>
        <w:autoSpaceDN w:val="0"/>
        <w:bidi w:val="0"/>
        <w:adjustRightInd w:val="0"/>
        <w:spacing w:before="120" w:after="120" w:line="480" w:lineRule="exact"/>
        <w:ind w:firstLine="480" w:firstLineChars="200"/>
        <w:jc w:val="left"/>
        <w:outlineLvl w:val="2"/>
        <w:rPr>
          <w:rFonts w:hint="eastAsia" w:asciiTheme="minorEastAsia" w:hAnsiTheme="minorEastAsia" w:eastAsiaTheme="minorEastAsia" w:cstheme="minorEastAsia"/>
          <w:b w:val="0"/>
          <w:color w:val="000000"/>
          <w:sz w:val="24"/>
          <w:szCs w:val="24"/>
        </w:rPr>
      </w:pPr>
      <w:bookmarkStart w:id="355" w:name="_Toc8066"/>
      <w:bookmarkStart w:id="356" w:name="_Toc337558808"/>
      <w:r>
        <w:rPr>
          <w:rStyle w:val="35"/>
          <w:rFonts w:hint="eastAsia" w:asciiTheme="minorEastAsia" w:hAnsiTheme="minorEastAsia" w:eastAsiaTheme="minorEastAsia" w:cstheme="minorEastAsia"/>
          <w:b w:val="0"/>
          <w:bCs w:val="0"/>
          <w:color w:val="000000"/>
          <w:kern w:val="0"/>
          <w:sz w:val="24"/>
          <w:szCs w:val="24"/>
        </w:rPr>
        <w:t>13.4提前交付单位工程的验收</w:t>
      </w:r>
      <w:bookmarkEnd w:id="355"/>
    </w:p>
    <w:bookmarkEnd w:id="356"/>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13.4.2 发包人要求在工程竣工前交付单位工程，由此导致承包人费用增加和（或）工期延误的，由发包人承担由此增加的费用和（或）延误的工期，并支付承包人合理的利润。</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57" w:name="_Toc27017"/>
      <w:r>
        <w:rPr>
          <w:rFonts w:hint="eastAsia" w:asciiTheme="minorEastAsia" w:hAnsiTheme="minorEastAsia" w:eastAsiaTheme="minorEastAsia" w:cstheme="minorEastAsia"/>
          <w:color w:val="000000"/>
          <w:szCs w:val="24"/>
        </w:rPr>
        <w:t>13.5 施工期运行</w:t>
      </w:r>
      <w:bookmarkEnd w:id="357"/>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13.5.2 在施工期运行中发现工程或工程设备损坏或存在缺陷的，由承包人按第15.2款〔缺陷责任期〕约定进行修复。</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58" w:name="_Toc296503112"/>
      <w:bookmarkStart w:id="359" w:name="_Toc296346613"/>
      <w:bookmarkStart w:id="360" w:name="_Toc20250"/>
      <w:bookmarkStart w:id="361" w:name="_Toc337558809"/>
      <w:r>
        <w:rPr>
          <w:rFonts w:hint="eastAsia" w:asciiTheme="minorEastAsia" w:hAnsiTheme="minorEastAsia" w:eastAsiaTheme="minorEastAsia" w:cstheme="minorEastAsia"/>
          <w:color w:val="000000"/>
          <w:szCs w:val="24"/>
        </w:rPr>
        <w:t>13.6 竣工退</w:t>
      </w:r>
      <w:bookmarkEnd w:id="358"/>
      <w:bookmarkEnd w:id="359"/>
      <w:r>
        <w:rPr>
          <w:rFonts w:hint="eastAsia" w:asciiTheme="minorEastAsia" w:hAnsiTheme="minorEastAsia" w:eastAsiaTheme="minorEastAsia" w:cstheme="minorEastAsia"/>
          <w:color w:val="000000"/>
          <w:szCs w:val="24"/>
        </w:rPr>
        <w:t>场</w:t>
      </w:r>
      <w:bookmarkEnd w:id="360"/>
    </w:p>
    <w:bookmarkEnd w:id="361"/>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13.6.1 竣工退场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颁发工程接收证书后，承包人应按以下要求对施工现场进行清理：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（1）施工现场内残留的垃圾已全部清除出场；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（2）临时工程已拆除，场地已进行清理、平整或复原；</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（3）按合同约定应撤离的人员、承包人施工设备和剩余的材料，包括废弃的施工设备和材料，已按计划撤离施工现场；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（4）施工现场周边及其附近道路、河道的施工堆积物，已全部清理；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（5）施工现场其他场地清理工作已全部完成。</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13.6.2 地表还原</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62" w:name="_Toc10790"/>
      <w:bookmarkStart w:id="363" w:name="_Toc337558810"/>
      <w:bookmarkStart w:id="364" w:name="_Toc296503113"/>
      <w:bookmarkStart w:id="365" w:name="_Toc296346614"/>
      <w:r>
        <w:rPr>
          <w:rFonts w:hint="eastAsia" w:asciiTheme="minorEastAsia" w:hAnsiTheme="minorEastAsia" w:eastAsiaTheme="minorEastAsia" w:cstheme="minorEastAsia"/>
          <w:color w:val="000000"/>
          <w:szCs w:val="24"/>
        </w:rPr>
        <w:t>14. 竣工结算</w:t>
      </w:r>
      <w:bookmarkEnd w:id="362"/>
    </w:p>
    <w:bookmarkEnd w:id="363"/>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66" w:name="_Toc12729"/>
      <w:bookmarkStart w:id="367" w:name="_Toc337558811"/>
      <w:r>
        <w:rPr>
          <w:rFonts w:hint="eastAsia" w:asciiTheme="minorEastAsia" w:hAnsiTheme="minorEastAsia" w:eastAsiaTheme="minorEastAsia" w:cstheme="minorEastAsia"/>
          <w:color w:val="000000"/>
          <w:szCs w:val="24"/>
        </w:rPr>
        <w:t>14.1 竣工结算申请</w:t>
      </w:r>
      <w:bookmarkEnd w:id="366"/>
    </w:p>
    <w:bookmarkEnd w:id="367"/>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除专用合同条款另有约定外，</w:t>
      </w:r>
      <w:r>
        <w:rPr>
          <w:rFonts w:hint="eastAsia" w:asciiTheme="minorEastAsia" w:hAnsiTheme="minorEastAsia" w:eastAsiaTheme="minorEastAsia" w:cstheme="minorEastAsia"/>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除专用合同条款另有约定外，竣工结算申请单应包括以下内容：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（1）竣工结算合同价格；</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（2）发包人已支付承包人的款项；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（3）应扣留的质量保证金。已缴纳履约保证金的或提供其他工程质量担保方式的除外；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（4）发包人应支付承包人的合同价款。</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68" w:name="_Toc23822"/>
      <w:bookmarkStart w:id="369" w:name="_Toc337558812"/>
      <w:r>
        <w:rPr>
          <w:rFonts w:hint="eastAsia" w:asciiTheme="minorEastAsia" w:hAnsiTheme="minorEastAsia" w:eastAsiaTheme="minorEastAsia" w:cstheme="minorEastAsia"/>
          <w:color w:val="000000"/>
          <w:szCs w:val="24"/>
        </w:rPr>
        <w:t>14.2 竣工结算审核</w:t>
      </w:r>
      <w:bookmarkEnd w:id="368"/>
    </w:p>
    <w:bookmarkEnd w:id="369"/>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Theme="minorEastAsia" w:hAnsiTheme="minorEastAsia" w:eastAsiaTheme="minorEastAsia" w:cstheme="minorEastAsia"/>
          <w:color w:val="000000"/>
          <w:sz w:val="24"/>
          <w:szCs w:val="24"/>
        </w:rPr>
        <w:t>发包人对竣工</w:t>
      </w:r>
      <w:r>
        <w:rPr>
          <w:rFonts w:hint="eastAsia" w:asciiTheme="minorEastAsia" w:hAnsiTheme="minorEastAsia" w:eastAsiaTheme="minorEastAsia" w:cstheme="minorEastAsia"/>
          <w:color w:val="000000"/>
          <w:kern w:val="0"/>
          <w:sz w:val="24"/>
          <w:szCs w:val="24"/>
        </w:rPr>
        <w:t>结算</w:t>
      </w:r>
      <w:r>
        <w:rPr>
          <w:rFonts w:hint="eastAsia" w:asciiTheme="minorEastAsia" w:hAnsiTheme="minorEastAsia" w:eastAsiaTheme="minorEastAsia" w:cstheme="minorEastAsia"/>
          <w:color w:val="000000"/>
          <w:sz w:val="24"/>
          <w:szCs w:val="24"/>
        </w:rPr>
        <w:t>申请单有异议的，有权要求承包人进行修正和提供补充资料，承包人应提交修正后的竣工</w:t>
      </w:r>
      <w:r>
        <w:rPr>
          <w:rFonts w:hint="eastAsia" w:asciiTheme="minorEastAsia" w:hAnsiTheme="minorEastAsia" w:eastAsiaTheme="minorEastAsia" w:cstheme="minorEastAsia"/>
          <w:color w:val="000000"/>
          <w:kern w:val="0"/>
          <w:sz w:val="24"/>
          <w:szCs w:val="24"/>
        </w:rPr>
        <w:t>结算</w:t>
      </w:r>
      <w:r>
        <w:rPr>
          <w:rFonts w:hint="eastAsia" w:asciiTheme="minorEastAsia" w:hAnsiTheme="minorEastAsia" w:eastAsiaTheme="minorEastAsia" w:cstheme="minorEastAsia"/>
          <w:color w:val="000000"/>
          <w:sz w:val="24"/>
          <w:szCs w:val="24"/>
        </w:rPr>
        <w:t>申请单。</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70" w:name="_Toc12367"/>
      <w:bookmarkStart w:id="371" w:name="_Toc337558813"/>
      <w:r>
        <w:rPr>
          <w:rFonts w:hint="eastAsia" w:asciiTheme="minorEastAsia" w:hAnsiTheme="minorEastAsia" w:eastAsiaTheme="minorEastAsia" w:cstheme="minorEastAsia"/>
          <w:color w:val="000000"/>
          <w:szCs w:val="24"/>
        </w:rPr>
        <w:t>14.3 甩项竣工协议</w:t>
      </w:r>
      <w:bookmarkEnd w:id="370"/>
    </w:p>
    <w:bookmarkEnd w:id="37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72" w:name="_Toc9342"/>
      <w:bookmarkStart w:id="373" w:name="_Toc337558814"/>
      <w:r>
        <w:rPr>
          <w:rFonts w:hint="eastAsia" w:asciiTheme="minorEastAsia" w:hAnsiTheme="minorEastAsia" w:eastAsiaTheme="minorEastAsia" w:cstheme="minorEastAsia"/>
          <w:b/>
          <w:bCs/>
          <w:color w:val="000000"/>
          <w:szCs w:val="24"/>
        </w:rPr>
        <w:t>14.4 最终结清</w:t>
      </w:r>
      <w:bookmarkEnd w:id="372"/>
    </w:p>
    <w:bookmarkEnd w:id="373"/>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14.4.1 最终结清申请单</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（1）除专用合同条款另有约定外，承包人应在缺陷责任期终止证书颁发后7天内，按专用合同条款约定的份数向发包人提交最终结清申请单，并提供相关证明材料。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w:t>
      </w:r>
      <w:r>
        <w:rPr>
          <w:rFonts w:hint="eastAsia" w:asciiTheme="minorEastAsia" w:hAnsiTheme="minorEastAsia" w:eastAsiaTheme="minorEastAsia" w:cstheme="minorEastAsia"/>
          <w:color w:val="000000"/>
          <w:kern w:val="0"/>
          <w:sz w:val="24"/>
          <w:szCs w:val="24"/>
        </w:rPr>
        <w:t>最终结清申请单</w:t>
      </w:r>
      <w:r>
        <w:rPr>
          <w:rFonts w:hint="eastAsia" w:asciiTheme="minorEastAsia" w:hAnsiTheme="minorEastAsia" w:eastAsiaTheme="minorEastAsia" w:cstheme="minorEastAsia"/>
          <w:color w:val="000000"/>
          <w:sz w:val="24"/>
          <w:szCs w:val="24"/>
        </w:rPr>
        <w:t>应列明质量保证金、应扣除的质量保证金、缺陷责任期内发生的增减费用。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（2）发包人对最终结清申请单内容有异议的，有权要求承包人进行修正和提供补充资料，承包人应向发包人提交修正后的最终结清申请单。</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14.4.2 最终结清证书和支付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（3）承包人对发包人颁发的最终结清证书有异议的，按第20条〔争议解决〕的约定办理。</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74" w:name="_Toc29964"/>
      <w:bookmarkStart w:id="375" w:name="_Toc337558815"/>
      <w:r>
        <w:rPr>
          <w:rFonts w:hint="eastAsia" w:asciiTheme="minorEastAsia" w:hAnsiTheme="minorEastAsia" w:eastAsiaTheme="minorEastAsia" w:cstheme="minorEastAsia"/>
          <w:b/>
          <w:bCs/>
          <w:color w:val="000000"/>
          <w:szCs w:val="24"/>
        </w:rPr>
        <w:t>15. 缺陷责任与保修</w:t>
      </w:r>
      <w:bookmarkEnd w:id="374"/>
    </w:p>
    <w:bookmarkEnd w:id="364"/>
    <w:bookmarkEnd w:id="365"/>
    <w:bookmarkEnd w:id="375"/>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76" w:name="_Toc22331"/>
      <w:bookmarkStart w:id="377" w:name="_Toc337558816"/>
      <w:bookmarkStart w:id="378" w:name="_Toc296503114"/>
      <w:bookmarkStart w:id="379" w:name="_Toc296346615"/>
      <w:r>
        <w:rPr>
          <w:rFonts w:hint="eastAsia" w:asciiTheme="minorEastAsia" w:hAnsiTheme="minorEastAsia" w:eastAsiaTheme="minorEastAsia" w:cstheme="minorEastAsia"/>
          <w:b/>
          <w:bCs/>
          <w:color w:val="000000"/>
          <w:szCs w:val="24"/>
        </w:rPr>
        <w:t>15.1 工程保修的原则</w:t>
      </w:r>
      <w:bookmarkEnd w:id="376"/>
    </w:p>
    <w:bookmarkEnd w:id="377"/>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80" w:name="_Toc25492"/>
      <w:bookmarkStart w:id="381" w:name="_Toc337558817"/>
      <w:r>
        <w:rPr>
          <w:rFonts w:hint="eastAsia" w:asciiTheme="minorEastAsia" w:hAnsiTheme="minorEastAsia" w:eastAsiaTheme="minorEastAsia" w:cstheme="minorEastAsia"/>
          <w:color w:val="000000"/>
          <w:szCs w:val="24"/>
        </w:rPr>
        <w:t>15.2 缺陷责任期</w:t>
      </w:r>
      <w:bookmarkEnd w:id="378"/>
      <w:bookmarkEnd w:id="379"/>
      <w:bookmarkEnd w:id="380"/>
    </w:p>
    <w:bookmarkEnd w:id="38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15.2.1 缺陷责任期从工程通过竣工验收之日起计算，合同当事人应在专用合同条款约定缺陷责任期的具体期限，但该期限最长不超过24个月。</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Theme="minorEastAsia" w:hAnsiTheme="minorEastAsia" w:eastAsiaTheme="minorEastAsia" w:cstheme="minorEastAsia"/>
          <w:bCs w:val="0"/>
          <w:color w:val="000000"/>
          <w:sz w:val="24"/>
          <w:szCs w:val="24"/>
        </w:rPr>
        <w:t>包人延长缺陷责任期，</w:t>
      </w:r>
      <w:r>
        <w:rPr>
          <w:rFonts w:hint="eastAsia" w:asciiTheme="minorEastAsia" w:hAnsiTheme="minorEastAsia" w:eastAsiaTheme="minorEastAsia" w:cstheme="minorEastAsia"/>
          <w:color w:val="000000"/>
          <w:kern w:val="0"/>
          <w:sz w:val="24"/>
          <w:szCs w:val="24"/>
        </w:rPr>
        <w:t>并应在原缺陷责任期届满前发出延长通知。</w:t>
      </w:r>
      <w:r>
        <w:rPr>
          <w:rFonts w:hint="eastAsia" w:asciiTheme="minorEastAsia" w:hAnsiTheme="minorEastAsia" w:eastAsiaTheme="minorEastAsia" w:cstheme="minorEastAsia"/>
          <w:bCs w:val="0"/>
          <w:color w:val="000000"/>
          <w:sz w:val="24"/>
          <w:szCs w:val="24"/>
        </w:rPr>
        <w:t>但缺陷责任期（含延长部分）最长</w:t>
      </w:r>
      <w:r>
        <w:rPr>
          <w:rFonts w:hint="eastAsia" w:asciiTheme="minorEastAsia" w:hAnsiTheme="minorEastAsia" w:eastAsiaTheme="minorEastAsia" w:cstheme="minorEastAsia"/>
          <w:color w:val="000000"/>
          <w:kern w:val="0"/>
          <w:sz w:val="24"/>
          <w:szCs w:val="24"/>
        </w:rPr>
        <w:t>不能超过24个月。</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由他人原因造成的缺陷，发包人负责组织维修，承包人不承担费用，且发包人不得从保证金中扣除费用。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82" w:name="_Toc23177"/>
      <w:bookmarkStart w:id="383" w:name="_Toc337558818"/>
      <w:bookmarkStart w:id="384" w:name="_Toc296346616"/>
      <w:bookmarkStart w:id="385" w:name="_Toc296503115"/>
      <w:r>
        <w:rPr>
          <w:rFonts w:hint="eastAsia" w:asciiTheme="minorEastAsia" w:hAnsiTheme="minorEastAsia" w:eastAsiaTheme="minorEastAsia" w:cstheme="minorEastAsia"/>
          <w:color w:val="000000"/>
          <w:szCs w:val="24"/>
        </w:rPr>
        <w:t>15.3 质量保证金</w:t>
      </w:r>
      <w:bookmarkEnd w:id="382"/>
    </w:p>
    <w:bookmarkEnd w:id="383"/>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经合同当事人协商一致扣留质量保证金的，应在专用合同条款中予以明确。</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在工程项目竣工前，承包人已经提供履约担保的，发包人不得同时预留工程质量保证金。</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15.3.1 承包人提供质量保证金的方式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承包人提供质量保证金有以下三种方式：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（1）质量保证金保函；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（2）相应比例的工程款；</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（3）双方约定的其他方式。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除专用合同条款另有约定外，质量保证金原则上采用上述第（1）种方式。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15.3.2 质量保证金的扣留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质量保证金的扣留有以下三种方式：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w:t>
      </w:r>
      <w:bookmarkStart w:id="386" w:name="#go6"/>
      <w:bookmarkEnd w:id="386"/>
      <w:r>
        <w:rPr>
          <w:rFonts w:hint="eastAsia" w:asciiTheme="minorEastAsia" w:hAnsiTheme="minorEastAsia" w:eastAsiaTheme="minorEastAsia" w:cstheme="minorEastAsia"/>
          <w:color w:val="000000"/>
          <w:kern w:val="0"/>
          <w:sz w:val="24"/>
          <w:szCs w:val="24"/>
        </w:rPr>
        <w:t>程竣工结算时一次性扣留质量保证金；</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（3）双方约定的其他扣留方式。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除专用合同条款另有约定外，质量保证金的扣留原则上采用上述第（1）种方式。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w:t>
      </w:r>
      <w:bookmarkStart w:id="387" w:name="#go4"/>
      <w:bookmarkEnd w:id="387"/>
      <w:r>
        <w:rPr>
          <w:rFonts w:hint="eastAsia" w:asciiTheme="minorEastAsia" w:hAnsiTheme="minorEastAsia" w:eastAsiaTheme="minorEastAsia" w:cstheme="minorEastAsia"/>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发包人在退还质量保证金的同时按照中国人民银行发布的同期同类贷款基准利率支付利息。</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15.3.3 </w:t>
      </w:r>
      <w:r>
        <w:rPr>
          <w:rFonts w:hint="eastAsia" w:asciiTheme="minorEastAsia" w:hAnsiTheme="minorEastAsia" w:eastAsiaTheme="minorEastAsia" w:cstheme="minorEastAsia"/>
          <w:color w:val="000000"/>
          <w:sz w:val="24"/>
          <w:szCs w:val="24"/>
        </w:rPr>
        <w:t>质量保证金</w:t>
      </w:r>
      <w:r>
        <w:rPr>
          <w:rFonts w:hint="eastAsia" w:asciiTheme="minorEastAsia" w:hAnsiTheme="minorEastAsia" w:eastAsiaTheme="minorEastAsia" w:cstheme="minorEastAsia"/>
          <w:color w:val="000000"/>
          <w:kern w:val="0"/>
          <w:sz w:val="24"/>
          <w:szCs w:val="24"/>
        </w:rPr>
        <w:t>的退还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缺陷责任期内，承包人认真履行合同约定的责任，到期后，承包人可向发包人申请返还保证金。</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发包人和承包人对保证金预留、返还以及工程维修质量、费用有争议的，按本合同第20条约定的争议和纠纷解决程序处理。</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88" w:name="_Toc17309"/>
      <w:bookmarkStart w:id="389" w:name="_Toc337558819"/>
      <w:r>
        <w:rPr>
          <w:rFonts w:hint="eastAsia" w:asciiTheme="minorEastAsia" w:hAnsiTheme="minorEastAsia" w:eastAsiaTheme="minorEastAsia" w:cstheme="minorEastAsia"/>
          <w:color w:val="000000"/>
          <w:szCs w:val="24"/>
        </w:rPr>
        <w:t>15.4 保修</w:t>
      </w:r>
      <w:bookmarkEnd w:id="388"/>
    </w:p>
    <w:bookmarkEnd w:id="384"/>
    <w:bookmarkEnd w:id="385"/>
    <w:bookmarkEnd w:id="389"/>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15.4.1保修责任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发包人未经竣工验收擅自使用工程的，保修期自</w:t>
      </w:r>
      <w:r>
        <w:rPr>
          <w:rFonts w:hint="eastAsia" w:asciiTheme="minorEastAsia" w:hAnsiTheme="minorEastAsia" w:eastAsiaTheme="minorEastAsia" w:cstheme="minorEastAsia"/>
          <w:color w:val="000000"/>
          <w:kern w:val="0"/>
          <w:sz w:val="24"/>
          <w:szCs w:val="24"/>
        </w:rPr>
        <w:t>转移占有之日起算</w:t>
      </w:r>
      <w:r>
        <w:rPr>
          <w:rFonts w:hint="eastAsia" w:asciiTheme="minorEastAsia" w:hAnsiTheme="minorEastAsia" w:eastAsiaTheme="minorEastAsia" w:cstheme="minorEastAsia"/>
          <w:color w:val="000000"/>
          <w:sz w:val="24"/>
          <w:szCs w:val="24"/>
        </w:rPr>
        <w:t>。</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15.4.2 修复费用</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保修期内，修复的费用按照以下约定处理：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（1）保修期内，因承包人原因造成工程的缺陷、损坏，承包人应负责修复，并承担修复的费用以及因工程的缺陷、损坏造成的人身伤害和财产损失；</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（2）保修期内，因发包人使用不当造成工程的缺陷、损坏，可以委托承包人修复，但发包人应承担修复的费用，并支付承包人合理利润；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15.4.3 修复通知</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15.4.4 未能修复</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15.4.5 承包人出入权</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w:t>
      </w:r>
      <w:r>
        <w:rPr>
          <w:rFonts w:hint="eastAsia" w:asciiTheme="minorEastAsia" w:hAnsiTheme="minorEastAsia" w:eastAsiaTheme="minorEastAsia" w:cstheme="minorEastAsia"/>
          <w:b/>
          <w:bCs/>
          <w:color w:val="000000"/>
          <w:kern w:val="0"/>
          <w:sz w:val="24"/>
          <w:szCs w:val="24"/>
        </w:rPr>
        <w:t>守发包人有关保安和保密等规定。</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90" w:name="_Toc30910"/>
      <w:bookmarkStart w:id="391" w:name="_Toc337558820"/>
      <w:r>
        <w:rPr>
          <w:rFonts w:hint="eastAsia" w:asciiTheme="minorEastAsia" w:hAnsiTheme="minorEastAsia" w:eastAsiaTheme="minorEastAsia" w:cstheme="minorEastAsia"/>
          <w:b/>
          <w:bCs/>
          <w:color w:val="000000"/>
          <w:szCs w:val="24"/>
        </w:rPr>
        <w:t>16. 违约</w:t>
      </w:r>
      <w:bookmarkEnd w:id="390"/>
    </w:p>
    <w:bookmarkEnd w:id="391"/>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392" w:name="_Toc296346630"/>
      <w:bookmarkStart w:id="393" w:name="_Toc296503129"/>
      <w:bookmarkStart w:id="394" w:name="_Toc14768"/>
      <w:bookmarkStart w:id="395" w:name="_Toc337558821"/>
      <w:r>
        <w:rPr>
          <w:rFonts w:hint="eastAsia" w:asciiTheme="minorEastAsia" w:hAnsiTheme="minorEastAsia" w:eastAsiaTheme="minorEastAsia" w:cstheme="minorEastAsia"/>
          <w:b/>
          <w:bCs/>
          <w:color w:val="000000"/>
          <w:szCs w:val="24"/>
        </w:rPr>
        <w:t>16.1 发</w:t>
      </w:r>
      <w:bookmarkEnd w:id="392"/>
      <w:bookmarkEnd w:id="393"/>
      <w:r>
        <w:rPr>
          <w:rFonts w:hint="eastAsia" w:asciiTheme="minorEastAsia" w:hAnsiTheme="minorEastAsia" w:eastAsiaTheme="minorEastAsia" w:cstheme="minorEastAsia"/>
          <w:b/>
          <w:bCs/>
          <w:color w:val="000000"/>
          <w:szCs w:val="24"/>
        </w:rPr>
        <w:t>包人违约</w:t>
      </w:r>
      <w:bookmarkEnd w:id="394"/>
    </w:p>
    <w:bookmarkEnd w:id="395"/>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16.1.1 发包人违约的情形</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在合同履行过程中发生的下列情形，属于发包人违约：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（1）因发包人原因未能在计划开工日期前7天内下达开工通知的；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（2）因发包人原因未能按合同约定支付合同价款的；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（3）发包人违反第10.1款〔变更的范围〕第（2）项约定，自行实施被取消的工作或转由他人实施的；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（4）发包人提供的材料、工程设备的规格、数量或质量不符合合同约定，或因发包人原因导致交货日期延误或交货地点变更等情况的；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（5）因发包人违反合同约定造成暂停施工的；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（6）发包人无正当理由没有在约定期限内发出复工指示，导致承包人无法复工的；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（7）发包人明确表示或者以其行为表明不履行合同主要义务的；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（8）发包人未能按照合同约定履行其他义务的。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16.1.2 发包人违约的责任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16.1.3 因发包人违约解除合同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16.1.4 因发包人违约解除合同后的付款</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承包人按照本款约定解除合同的，发包人应在解除合同后28天内支付下列款项，并解除履约担保：</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（1）合同解除前所完成工作的价款；</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（2）承包人为工程施工订购并已付款的材料、工程设备和其他物品的价款；</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（3）承包人撤离施工现场以及遣散承包人人员的款项；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（4）按照合同约定在合同解除前应支付的违约金；</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（5）按照合同约定应当支付给承包人的其他款项；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（6）按照合同约定应退还的质量保证金；</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（7）因解除合同给承包人造成的损失。</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合同当事人未能就解除合同后的结清达成一致的，按照第20条〔争议解决〕的约定处理。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承包人应妥善做好已完工程和与工程有关的已购材料、工程设备的保护和移交工作，并将施工设备和人员撤出施工现场，发包人应为承包人撤出提供必要条件。</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396" w:name="_Toc390"/>
      <w:bookmarkStart w:id="397" w:name="_Toc337558822"/>
      <w:bookmarkStart w:id="398" w:name="_Toc296503131"/>
      <w:bookmarkStart w:id="399" w:name="_Toc296346632"/>
      <w:r>
        <w:rPr>
          <w:rFonts w:hint="eastAsia" w:asciiTheme="minorEastAsia" w:hAnsiTheme="minorEastAsia" w:eastAsiaTheme="minorEastAsia" w:cstheme="minorEastAsia"/>
          <w:color w:val="000000"/>
          <w:szCs w:val="24"/>
        </w:rPr>
        <w:t>16.2 承包人违约</w:t>
      </w:r>
      <w:bookmarkEnd w:id="396"/>
    </w:p>
    <w:bookmarkEnd w:id="397"/>
    <w:bookmarkEnd w:id="398"/>
    <w:bookmarkEnd w:id="399"/>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16.2.1 承包人违约的情形</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在合同履行过程中发生的下列情形，属于承包人违约：</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（1）承包人违反合同约定进行转包或违法分包的；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（2）承包人违反合同约定采购和使用不合格的材料和工程设备的；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（3）因承包人原因导致工程质量不符合合同要求的；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（4）承包人违反第8.9款〔材料与设备专用要求〕的约定，未经批准，私自将已按照合同约定进入施工现场的材料或设备撤离施工现场的；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（5）承包人未能按施工进度计划及时完成合同约定的工作，造成工期延误的；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（6）承包人在缺陷责任期及保修期内，未能在合理期限对工程缺陷进行修复，或拒绝按发包人要求进行修复的；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（7）承包人明确表示或者以其行为表明不履行合同主要义务的；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（8）承包人未能按照合同约定履行其他义务的。</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承包人发生除本项第（7）目约定以外的其他违约情况时，监理人可向承包人发出整改通知，要求其在指定的期限内改正。</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16.2.2 承包人违约的责任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承包人应承担因其违约行为而增加的费用和（或）延误的工期。此外，合同当事人可在专用合同条款中另行约定承包人违约责任的承担方式和计算方法。</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16.2.3 因承包人违约解除合同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16.2.4因承包人违约解除合同后的处理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因承包人原因导致合同解除的，则合同当事人应在合同解除后28天内完成估价、付款和清算，并按以下约定执行：</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（1）合同解除后，按第4.4款〔商定或确定〕商定或确定承包人实际完成工作对应的合同价款，以及承包人已提供的材料、工程设备、施工设备和临时工程等的价值；</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（2）合同解除后，承包人应支付的违约金；</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（3）合同解除后，因解除合同给发包人造成的损失；</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（4）合同解除后，承包人应按照发包人要求和监理人的指示完成现场的清理和撤离；</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（5）发包人和承包人应在合同解除后进行清算，出具最终结清付款证书，结清全部款项。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16.2.5采购合同权益转让</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00" w:name="_Toc18163"/>
      <w:r>
        <w:rPr>
          <w:rFonts w:hint="eastAsia" w:asciiTheme="minorEastAsia" w:hAnsiTheme="minorEastAsia" w:eastAsiaTheme="minorEastAsia" w:cstheme="minorEastAsia"/>
          <w:color w:val="000000"/>
          <w:szCs w:val="24"/>
        </w:rPr>
        <w:t>16.3 第三人造成的违约</w:t>
      </w:r>
      <w:bookmarkEnd w:id="400"/>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在履行合同过程中，一方当事人因第三人的原因造成违约的，应当向对方当事人承担违约责任。一方当事人和第三人之间的纠纷，依照法律规定或者按照约定解决。</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401" w:name="_Toc10507"/>
      <w:bookmarkStart w:id="402" w:name="_Toc296346617"/>
      <w:bookmarkStart w:id="403" w:name="_Toc337558823"/>
      <w:bookmarkStart w:id="404" w:name="_Toc296503116"/>
      <w:r>
        <w:rPr>
          <w:rFonts w:hint="eastAsia" w:asciiTheme="minorEastAsia" w:hAnsiTheme="minorEastAsia" w:eastAsiaTheme="minorEastAsia" w:cstheme="minorEastAsia"/>
          <w:b/>
          <w:bCs/>
          <w:color w:val="000000"/>
          <w:szCs w:val="24"/>
        </w:rPr>
        <w:t>17. 不可抗力</w:t>
      </w:r>
      <w:bookmarkEnd w:id="401"/>
      <w:r>
        <w:rPr>
          <w:rFonts w:hint="eastAsia" w:asciiTheme="minorEastAsia" w:hAnsiTheme="minorEastAsia" w:eastAsiaTheme="minorEastAsia" w:cstheme="minorEastAsia"/>
          <w:b/>
          <w:bCs/>
          <w:color w:val="000000"/>
          <w:szCs w:val="24"/>
        </w:rPr>
        <w:t xml:space="preserve"> </w:t>
      </w:r>
      <w:bookmarkEnd w:id="402"/>
      <w:bookmarkEnd w:id="403"/>
      <w:bookmarkEnd w:id="404"/>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405" w:name="_Toc4121"/>
      <w:bookmarkStart w:id="406" w:name="_Toc296346618"/>
      <w:bookmarkStart w:id="407" w:name="_Toc337558824"/>
      <w:bookmarkStart w:id="408" w:name="_Toc296503117"/>
      <w:r>
        <w:rPr>
          <w:rFonts w:hint="eastAsia" w:asciiTheme="minorEastAsia" w:hAnsiTheme="minorEastAsia" w:eastAsiaTheme="minorEastAsia" w:cstheme="minorEastAsia"/>
          <w:b/>
          <w:bCs/>
          <w:color w:val="000000"/>
          <w:szCs w:val="24"/>
        </w:rPr>
        <w:t>17.1 不可抗力的确认</w:t>
      </w:r>
      <w:bookmarkEnd w:id="405"/>
    </w:p>
    <w:bookmarkEnd w:id="406"/>
    <w:bookmarkEnd w:id="407"/>
    <w:bookmarkEnd w:id="408"/>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09" w:name="_Toc1440"/>
      <w:bookmarkStart w:id="410" w:name="_Toc296346619"/>
      <w:bookmarkStart w:id="411" w:name="_Toc337558825"/>
      <w:bookmarkStart w:id="412" w:name="_Toc296503118"/>
      <w:r>
        <w:rPr>
          <w:rFonts w:hint="eastAsia" w:asciiTheme="minorEastAsia" w:hAnsiTheme="minorEastAsia" w:eastAsiaTheme="minorEastAsia" w:cstheme="minorEastAsia"/>
          <w:color w:val="000000"/>
          <w:szCs w:val="24"/>
        </w:rPr>
        <w:t>17.2 不可抗力的通知</w:t>
      </w:r>
      <w:bookmarkEnd w:id="409"/>
    </w:p>
    <w:bookmarkEnd w:id="410"/>
    <w:bookmarkEnd w:id="411"/>
    <w:bookmarkEnd w:id="412"/>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13" w:name="_Toc27880"/>
      <w:bookmarkStart w:id="414" w:name="_Toc296346620"/>
      <w:bookmarkStart w:id="415" w:name="_Toc337558826"/>
      <w:bookmarkStart w:id="416" w:name="_Toc296503119"/>
      <w:r>
        <w:rPr>
          <w:rFonts w:hint="eastAsia" w:asciiTheme="minorEastAsia" w:hAnsiTheme="minorEastAsia" w:eastAsiaTheme="minorEastAsia" w:cstheme="minorEastAsia"/>
          <w:color w:val="000000"/>
          <w:szCs w:val="24"/>
        </w:rPr>
        <w:t>17.3 不可抗力后果的承担</w:t>
      </w:r>
      <w:bookmarkEnd w:id="413"/>
    </w:p>
    <w:bookmarkEnd w:id="414"/>
    <w:bookmarkEnd w:id="415"/>
    <w:bookmarkEnd w:id="416"/>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17.3.1 不可抗力引起的后果及造成的损失由合同当事人按照法律规定及合同约定各自承担。不可抗力发生前已完成的工程应当按照合同约定进行计量支付。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17.3.2 不可抗力导致的人员伤亡、财产损失、费用增加和（或）工期延误等后果，由合同当事人按以下原则承担：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（1）永久工程、已运至施工现场的材料和工程设备的损坏，以及因工程损坏造成的第三人人员伤亡和财产损失由发包人承担；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（2）承包人施工设备的损坏由承包人承担；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（3）发包人和承包人承担各自人员伤亡和财产的损失；</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（5）因不可抗力引起或将引起工期延误，发包人要求赶工的，由此增加的赶工费用由发包人承担；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（6）承包人在停工期间按照发包人要求照管、清理和修复工程的费用由发包人承担。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不可抗力发生后，合同当事人均应采取措施尽量避免和减少损失的扩大，任何一方当事人没有采取有效措施导致损失扩大的，应对扩大的损失承担责任。</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因合同一方迟延履行合同义务，在迟延履行期间遭遇不可抗力的，不免除其违约责任。</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17" w:name="_Toc18347"/>
      <w:bookmarkStart w:id="418" w:name="_Toc337558827"/>
      <w:r>
        <w:rPr>
          <w:rFonts w:hint="eastAsia" w:asciiTheme="minorEastAsia" w:hAnsiTheme="minorEastAsia" w:eastAsiaTheme="minorEastAsia" w:cstheme="minorEastAsia"/>
          <w:color w:val="000000"/>
          <w:szCs w:val="24"/>
        </w:rPr>
        <w:t>17.4 因不可抗力解除合同</w:t>
      </w:r>
      <w:bookmarkEnd w:id="417"/>
    </w:p>
    <w:bookmarkEnd w:id="418"/>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（1）合同解除前承包人已完成工作的价款；</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（2）承包人为工程订购的并已交付给承包人，或承包人有责任接受交付的材料、工程设备和其他物品的价款；</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（3）发包人要求承包人退货或解除订货合同而产生的费用，或因不能退货或解除合同而产生的损失；</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（4）承包人撤离施工现场以及遣散承包人人员的费用；</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（5）按照合同约定在合同解除前应支付给承包人的其他款项；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（6）扣减承包人按照合同约定应向发包人支付的款项；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（7）双方商定或确定的其他款项。</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除专用合同条款另有约定外，合同解除后，发包人应在商定或确定上述款项后28天内完成上述款项的支付。</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419" w:name="_Toc3327"/>
      <w:bookmarkStart w:id="420" w:name="_Toc296503120"/>
      <w:bookmarkStart w:id="421" w:name="_Toc337558828"/>
      <w:bookmarkStart w:id="422" w:name="_Toc296346621"/>
      <w:r>
        <w:rPr>
          <w:rFonts w:hint="eastAsia" w:asciiTheme="minorEastAsia" w:hAnsiTheme="minorEastAsia" w:eastAsiaTheme="minorEastAsia" w:cstheme="minorEastAsia"/>
          <w:b/>
          <w:bCs/>
          <w:color w:val="000000"/>
          <w:szCs w:val="24"/>
        </w:rPr>
        <w:t>18. 保险</w:t>
      </w:r>
      <w:bookmarkEnd w:id="419"/>
    </w:p>
    <w:bookmarkEnd w:id="420"/>
    <w:bookmarkEnd w:id="421"/>
    <w:bookmarkEnd w:id="422"/>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423" w:name="_Toc26072"/>
      <w:bookmarkStart w:id="424" w:name="_Toc296503121"/>
      <w:bookmarkStart w:id="425" w:name="_Toc337558829"/>
      <w:bookmarkStart w:id="426" w:name="_Toc296346622"/>
      <w:r>
        <w:rPr>
          <w:rFonts w:hint="eastAsia" w:asciiTheme="minorEastAsia" w:hAnsiTheme="minorEastAsia" w:eastAsiaTheme="minorEastAsia" w:cstheme="minorEastAsia"/>
          <w:b/>
          <w:bCs/>
          <w:color w:val="000000"/>
          <w:szCs w:val="24"/>
        </w:rPr>
        <w:t>18.1 工程保险</w:t>
      </w:r>
      <w:bookmarkEnd w:id="423"/>
    </w:p>
    <w:bookmarkEnd w:id="424"/>
    <w:bookmarkEnd w:id="425"/>
    <w:bookmarkEnd w:id="426"/>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除专用合同条款另有约定外，发包人应投保建筑工程一切险或安装工程一切险；发包人委托承包人投保的，因投保产生的保险费和其他相关费用由发包人承担。</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27" w:name="_Toc9154"/>
      <w:bookmarkStart w:id="428" w:name="_Toc296346623"/>
      <w:bookmarkStart w:id="429" w:name="_Toc337558830"/>
      <w:bookmarkStart w:id="430" w:name="_Toc296503122"/>
      <w:r>
        <w:rPr>
          <w:rFonts w:hint="eastAsia" w:asciiTheme="minorEastAsia" w:hAnsiTheme="minorEastAsia" w:eastAsiaTheme="minorEastAsia" w:cstheme="minorEastAsia"/>
          <w:color w:val="000000"/>
          <w:szCs w:val="24"/>
        </w:rPr>
        <w:t>18.2 工伤保险</w:t>
      </w:r>
      <w:bookmarkEnd w:id="427"/>
    </w:p>
    <w:bookmarkEnd w:id="428"/>
    <w:bookmarkEnd w:id="429"/>
    <w:bookmarkEnd w:id="430"/>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31" w:name="_Toc2007"/>
      <w:bookmarkStart w:id="432" w:name="_Toc296346626"/>
      <w:bookmarkStart w:id="433" w:name="_Toc337558831"/>
      <w:bookmarkStart w:id="434" w:name="_Toc296503125"/>
      <w:r>
        <w:rPr>
          <w:rFonts w:hint="eastAsia" w:asciiTheme="minorEastAsia" w:hAnsiTheme="minorEastAsia" w:eastAsiaTheme="minorEastAsia" w:cstheme="minorEastAsia"/>
          <w:color w:val="000000"/>
          <w:szCs w:val="24"/>
        </w:rPr>
        <w:t>18.3其他保险</w:t>
      </w:r>
      <w:bookmarkEnd w:id="431"/>
    </w:p>
    <w:bookmarkEnd w:id="432"/>
    <w:bookmarkEnd w:id="433"/>
    <w:bookmarkEnd w:id="434"/>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除专用合同条款另有约定外，承包人应为其施工设备等办理财产保险。</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35" w:name="_Toc23692"/>
      <w:r>
        <w:rPr>
          <w:rFonts w:hint="eastAsia" w:asciiTheme="minorEastAsia" w:hAnsiTheme="minorEastAsia" w:eastAsiaTheme="minorEastAsia" w:cstheme="minorEastAsia"/>
          <w:color w:val="000000"/>
          <w:szCs w:val="24"/>
        </w:rPr>
        <w:t>18.4持续保险</w:t>
      </w:r>
      <w:bookmarkEnd w:id="435"/>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合同当事人应与保险人保持联系，使保险人能够随时了解工程实施中的变动，并确保按保险合同条款要求持续保险。</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36" w:name="_Toc3135"/>
      <w:bookmarkStart w:id="437" w:name="_Toc337558832"/>
      <w:bookmarkStart w:id="438" w:name="_Toc296503126"/>
      <w:bookmarkStart w:id="439" w:name="_Toc296346627"/>
      <w:r>
        <w:rPr>
          <w:rFonts w:hint="eastAsia" w:asciiTheme="minorEastAsia" w:hAnsiTheme="minorEastAsia" w:eastAsiaTheme="minorEastAsia" w:cstheme="minorEastAsia"/>
          <w:color w:val="000000"/>
          <w:szCs w:val="24"/>
        </w:rPr>
        <w:t>18.5 保险凭证</w:t>
      </w:r>
      <w:bookmarkEnd w:id="436"/>
    </w:p>
    <w:bookmarkEnd w:id="437"/>
    <w:bookmarkEnd w:id="438"/>
    <w:bookmarkEnd w:id="439"/>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合同当事人应及时向另一方当事人提交其已投保的各项保险的凭证和保险单复印件。</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40" w:name="_Toc8608"/>
      <w:bookmarkStart w:id="441" w:name="_Toc337558833"/>
      <w:bookmarkStart w:id="442" w:name="_Toc296346628"/>
      <w:bookmarkStart w:id="443" w:name="_Toc296503127"/>
      <w:r>
        <w:rPr>
          <w:rFonts w:hint="eastAsia" w:asciiTheme="minorEastAsia" w:hAnsiTheme="minorEastAsia" w:eastAsiaTheme="minorEastAsia" w:cstheme="minorEastAsia"/>
          <w:color w:val="000000"/>
          <w:szCs w:val="24"/>
        </w:rPr>
        <w:t>18.6 未按约定投保的补救</w:t>
      </w:r>
      <w:bookmarkEnd w:id="440"/>
    </w:p>
    <w:bookmarkEnd w:id="441"/>
    <w:bookmarkEnd w:id="442"/>
    <w:bookmarkEnd w:id="443"/>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44" w:name="_Toc10821"/>
      <w:bookmarkStart w:id="445" w:name="_Toc337558834"/>
      <w:r>
        <w:rPr>
          <w:rFonts w:hint="eastAsia" w:asciiTheme="minorEastAsia" w:hAnsiTheme="minorEastAsia" w:eastAsiaTheme="minorEastAsia" w:cstheme="minorEastAsia"/>
          <w:color w:val="000000"/>
          <w:szCs w:val="24"/>
        </w:rPr>
        <w:t>18.7 通知义务</w:t>
      </w:r>
      <w:bookmarkEnd w:id="444"/>
    </w:p>
    <w:bookmarkEnd w:id="445"/>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保险事故发生时，投保人应按照保险合同规定的条件和期限及时向保险人报告。发包人和承包人应当在知道保险事故发生后及时通知对方。</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446" w:name="_Toc21355"/>
      <w:bookmarkStart w:id="447" w:name="_Toc337558835"/>
      <w:bookmarkStart w:id="448" w:name="_Toc296503140"/>
      <w:bookmarkStart w:id="449" w:name="_Toc296346641"/>
      <w:r>
        <w:rPr>
          <w:rFonts w:hint="eastAsia" w:asciiTheme="minorEastAsia" w:hAnsiTheme="minorEastAsia" w:eastAsiaTheme="minorEastAsia" w:cstheme="minorEastAsia"/>
          <w:b/>
          <w:bCs/>
          <w:color w:val="000000"/>
          <w:szCs w:val="24"/>
        </w:rPr>
        <w:t>19. 索赔</w:t>
      </w:r>
      <w:bookmarkEnd w:id="446"/>
    </w:p>
    <w:bookmarkEnd w:id="447"/>
    <w:bookmarkEnd w:id="448"/>
    <w:bookmarkEnd w:id="449"/>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450" w:name="_Toc30312"/>
      <w:bookmarkStart w:id="451" w:name="_Toc296503141"/>
      <w:bookmarkStart w:id="452" w:name="_Toc296346642"/>
      <w:bookmarkStart w:id="453" w:name="_Toc337558836"/>
      <w:r>
        <w:rPr>
          <w:rFonts w:hint="eastAsia" w:asciiTheme="minorEastAsia" w:hAnsiTheme="minorEastAsia" w:eastAsiaTheme="minorEastAsia" w:cstheme="minorEastAsia"/>
          <w:b/>
          <w:bCs/>
          <w:color w:val="000000"/>
          <w:szCs w:val="24"/>
        </w:rPr>
        <w:t>19.1承包人的索赔</w:t>
      </w:r>
      <w:bookmarkEnd w:id="450"/>
    </w:p>
    <w:bookmarkEnd w:id="451"/>
    <w:bookmarkEnd w:id="452"/>
    <w:bookmarkEnd w:id="453"/>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（3）索赔事件具有持续影响的，承包人应按合理时间间隔继续递交延续索赔通知，说明持续影响的实际情况和记录，列出累计的追加付款金额和（或）工期延长天数；</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（4）在索赔事件影响结束后28天内，承包人应向监理人递交最终索赔报告，说明最终要求索赔的追加付款金额和（或）延长的工期，并附必要的记录和证明材料。</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54" w:name="_Toc15128"/>
      <w:bookmarkStart w:id="455" w:name="_Toc296503142"/>
      <w:bookmarkStart w:id="456" w:name="_Toc337558837"/>
      <w:bookmarkStart w:id="457" w:name="_Toc296346643"/>
      <w:r>
        <w:rPr>
          <w:rFonts w:hint="eastAsia" w:asciiTheme="minorEastAsia" w:hAnsiTheme="minorEastAsia" w:eastAsiaTheme="minorEastAsia" w:cstheme="minorEastAsia"/>
          <w:color w:val="000000"/>
          <w:szCs w:val="24"/>
        </w:rPr>
        <w:t>19.2 对承包人索赔的处理</w:t>
      </w:r>
      <w:bookmarkEnd w:id="454"/>
    </w:p>
    <w:bookmarkEnd w:id="455"/>
    <w:bookmarkEnd w:id="456"/>
    <w:bookmarkEnd w:id="457"/>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对承包人索赔的处理如下：</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（1）监理人应在收到索赔报告后14天内完成审查并报送发包人。监理人对索赔报告存在异议的，有权要求承包人提交全部原始记录副本；</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（3）承包人接受索赔处理结果的，索赔款项在当期进度款中进行支付；承包人不接受索赔处理结果的，按照第20条〔争议解决〕约定处理。</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58" w:name="_Toc2370"/>
      <w:bookmarkStart w:id="459" w:name="_Toc337558838"/>
      <w:bookmarkStart w:id="460" w:name="_Toc296346644"/>
      <w:bookmarkStart w:id="461" w:name="_Toc296503143"/>
      <w:r>
        <w:rPr>
          <w:rFonts w:hint="eastAsia" w:asciiTheme="minorEastAsia" w:hAnsiTheme="minorEastAsia" w:eastAsiaTheme="minorEastAsia" w:cstheme="minorEastAsia"/>
          <w:color w:val="000000"/>
          <w:szCs w:val="24"/>
        </w:rPr>
        <w:t>19.3发包人的索赔</w:t>
      </w:r>
      <w:bookmarkEnd w:id="458"/>
    </w:p>
    <w:bookmarkEnd w:id="459"/>
    <w:bookmarkEnd w:id="460"/>
    <w:bookmarkEnd w:id="461"/>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根据合同约定，发包人认为有权得到赔付金额和（或）延长缺陷责任期的，监理人应向承包人发出通知并附有详细的证明。</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62" w:name="_Toc6791"/>
      <w:bookmarkStart w:id="463" w:name="_Toc296503144"/>
      <w:bookmarkStart w:id="464" w:name="_Toc296346645"/>
      <w:bookmarkStart w:id="465" w:name="_Toc337558839"/>
      <w:r>
        <w:rPr>
          <w:rFonts w:hint="eastAsia" w:asciiTheme="minorEastAsia" w:hAnsiTheme="minorEastAsia" w:eastAsiaTheme="minorEastAsia" w:cstheme="minorEastAsia"/>
          <w:color w:val="000000"/>
          <w:szCs w:val="24"/>
        </w:rPr>
        <w:t>19.4 对发包人索赔的处理</w:t>
      </w:r>
      <w:bookmarkEnd w:id="462"/>
    </w:p>
    <w:bookmarkEnd w:id="463"/>
    <w:bookmarkEnd w:id="464"/>
    <w:bookmarkEnd w:id="465"/>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对发包人索赔的处理如下：</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（1）承包人收到发包人提交的索赔报告后，应及时审查索赔报告的内容、查验发包人证明材料；</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66" w:name="_Toc16925"/>
      <w:r>
        <w:rPr>
          <w:rFonts w:hint="eastAsia" w:asciiTheme="minorEastAsia" w:hAnsiTheme="minorEastAsia" w:eastAsiaTheme="minorEastAsia" w:cstheme="minorEastAsia"/>
          <w:color w:val="000000"/>
          <w:szCs w:val="24"/>
        </w:rPr>
        <w:t>19.5 提出索赔的期限</w:t>
      </w:r>
      <w:bookmarkEnd w:id="466"/>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（1）承包人按第14.2款〔竣工结算审核〕约定接收竣工付款证书后，应被视为已无权再提出在工程接收证书颁发前所发生的任何索赔。</w:t>
      </w:r>
    </w:p>
    <w:p>
      <w:pPr>
        <w:pageBreakBefore w:val="0"/>
        <w:widowControl w:val="0"/>
        <w:kinsoku/>
        <w:wordWrap/>
        <w:overflowPunct/>
        <w:topLinePunct w:val="0"/>
        <w:bidi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（2）承包人按第14.4款〔最终结清〕提交的最终结清申请单中，只限于提出工程接收证书颁发后发生的索赔。提出索赔的期限自接受最终结清证书时终止。</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467" w:name="_Toc3358"/>
      <w:r>
        <w:rPr>
          <w:rFonts w:hint="eastAsia" w:asciiTheme="minorEastAsia" w:hAnsiTheme="minorEastAsia" w:eastAsiaTheme="minorEastAsia" w:cstheme="minorEastAsia"/>
          <w:b/>
          <w:bCs/>
          <w:color w:val="000000"/>
          <w:szCs w:val="24"/>
        </w:rPr>
        <w:t>20</w:t>
      </w:r>
      <w:bookmarkStart w:id="468" w:name="_Toc337558840"/>
      <w:bookmarkStart w:id="469" w:name="_Toc296503146"/>
      <w:bookmarkStart w:id="470" w:name="_Toc296346647"/>
      <w:r>
        <w:rPr>
          <w:rFonts w:hint="eastAsia" w:asciiTheme="minorEastAsia" w:hAnsiTheme="minorEastAsia" w:eastAsiaTheme="minorEastAsia" w:cstheme="minorEastAsia"/>
          <w:b/>
          <w:bCs/>
          <w:color w:val="000000"/>
          <w:szCs w:val="24"/>
        </w:rPr>
        <w:t>. 争议解决</w:t>
      </w:r>
      <w:bookmarkEnd w:id="467"/>
    </w:p>
    <w:bookmarkEnd w:id="468"/>
    <w:bookmarkEnd w:id="469"/>
    <w:bookmarkEnd w:id="470"/>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b/>
          <w:bCs/>
          <w:color w:val="000000"/>
          <w:szCs w:val="24"/>
        </w:rPr>
      </w:pPr>
      <w:bookmarkStart w:id="471" w:name="_Toc11009"/>
      <w:bookmarkStart w:id="472" w:name="_Toc337558841"/>
      <w:bookmarkStart w:id="473" w:name="_Toc296346648"/>
      <w:bookmarkStart w:id="474" w:name="_Toc296503147"/>
      <w:r>
        <w:rPr>
          <w:rFonts w:hint="eastAsia" w:asciiTheme="minorEastAsia" w:hAnsiTheme="minorEastAsia" w:eastAsiaTheme="minorEastAsia" w:cstheme="minorEastAsia"/>
          <w:b/>
          <w:bCs/>
          <w:color w:val="000000"/>
          <w:szCs w:val="24"/>
        </w:rPr>
        <w:t>20.1和解</w:t>
      </w:r>
      <w:bookmarkEnd w:id="471"/>
    </w:p>
    <w:bookmarkEnd w:id="472"/>
    <w:bookmarkEnd w:id="473"/>
    <w:bookmarkEnd w:id="474"/>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合同当事人可以就争议自行和解，自行和解达成协议的经双方签字并盖章后作为合同补充文件，双方均应遵照执行。</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75" w:name="_Toc18453"/>
      <w:r>
        <w:rPr>
          <w:rFonts w:hint="eastAsia" w:asciiTheme="minorEastAsia" w:hAnsiTheme="minorEastAsia" w:eastAsiaTheme="minorEastAsia" w:cstheme="minorEastAsia"/>
          <w:color w:val="000000"/>
          <w:szCs w:val="24"/>
        </w:rPr>
        <w:t>20</w:t>
      </w:r>
      <w:bookmarkStart w:id="476" w:name="_Toc337558842"/>
      <w:bookmarkStart w:id="477" w:name="_Toc296346649"/>
      <w:bookmarkStart w:id="478" w:name="_Toc296503148"/>
      <w:r>
        <w:rPr>
          <w:rFonts w:hint="eastAsia" w:asciiTheme="minorEastAsia" w:hAnsiTheme="minorEastAsia" w:eastAsiaTheme="minorEastAsia" w:cstheme="minorEastAsia"/>
          <w:color w:val="000000"/>
          <w:szCs w:val="24"/>
        </w:rPr>
        <w:t>.2调解</w:t>
      </w:r>
      <w:bookmarkEnd w:id="475"/>
    </w:p>
    <w:bookmarkEnd w:id="476"/>
    <w:bookmarkEnd w:id="477"/>
    <w:bookmarkEnd w:id="478"/>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合同当事人可以就争议请求建设行政主管部门、行业协会或其他第三方进行调解，调解达成协议的，经双方签字并盖章后作为合同补充文件，双方均应遵照执行。</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79" w:name="_Toc29265"/>
      <w:bookmarkStart w:id="480" w:name="_Toc296503149"/>
      <w:bookmarkStart w:id="481" w:name="_Toc337558843"/>
      <w:bookmarkStart w:id="482" w:name="_Toc296346650"/>
      <w:r>
        <w:rPr>
          <w:rFonts w:hint="eastAsia" w:asciiTheme="minorEastAsia" w:hAnsiTheme="minorEastAsia" w:eastAsiaTheme="minorEastAsia" w:cstheme="minorEastAsia"/>
          <w:color w:val="000000"/>
          <w:szCs w:val="24"/>
        </w:rPr>
        <w:t>20.3争议评审</w:t>
      </w:r>
      <w:bookmarkEnd w:id="479"/>
    </w:p>
    <w:bookmarkEnd w:id="480"/>
    <w:bookmarkEnd w:id="481"/>
    <w:bookmarkEnd w:id="482"/>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合同当事人在专用合同条款中约定采取争议评审方式解决争议以及评审规则，并按下列约定执行：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20.3.1 争议评审小组的确定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除专用合同条款另有约定外，评审员报酬由发包人和承包人各承担一半。</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20.3.2 争议评审小组的决定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20.3.3 争议评审小组决定的效力</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争议评审小组作出的书面决定经合同当事人签字确认后，对双方具有约束力，双方应遵照执行。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任何一方当事人不接受争议评审小组决定或不履行争议评审小组决定的，双方可选择采用其他争议解决方式。</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83" w:name="_Toc32295"/>
      <w:bookmarkStart w:id="484" w:name="_Toc296346651"/>
      <w:bookmarkStart w:id="485" w:name="_Toc337558844"/>
      <w:bookmarkStart w:id="486" w:name="_Toc296503150"/>
      <w:r>
        <w:rPr>
          <w:rFonts w:hint="eastAsia" w:asciiTheme="minorEastAsia" w:hAnsiTheme="minorEastAsia" w:eastAsiaTheme="minorEastAsia" w:cstheme="minorEastAsia"/>
          <w:color w:val="000000"/>
          <w:szCs w:val="24"/>
        </w:rPr>
        <w:t>20.4仲裁或诉讼</w:t>
      </w:r>
      <w:bookmarkEnd w:id="483"/>
    </w:p>
    <w:bookmarkEnd w:id="484"/>
    <w:bookmarkEnd w:id="485"/>
    <w:bookmarkEnd w:id="486"/>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因合同及合同有关事项产生的争议，合同当事人可以在专用合同条款中约定以下一种方式解决争议：</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（1）向约定的仲裁委员会申请仲裁；</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（2）向有管辖权的人民法院起诉。</w:t>
      </w:r>
    </w:p>
    <w:p>
      <w:pPr>
        <w:widowControl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Cs w:val="24"/>
        </w:rPr>
      </w:pPr>
      <w:bookmarkStart w:id="487" w:name="_Toc20019"/>
      <w:bookmarkStart w:id="488" w:name="_Toc296503152"/>
      <w:bookmarkStart w:id="489" w:name="_Toc296346653"/>
      <w:bookmarkStart w:id="490" w:name="_Toc337558845"/>
      <w:r>
        <w:rPr>
          <w:rFonts w:hint="eastAsia" w:asciiTheme="minorEastAsia" w:hAnsiTheme="minorEastAsia" w:eastAsiaTheme="minorEastAsia" w:cstheme="minorEastAsia"/>
          <w:color w:val="000000"/>
          <w:szCs w:val="24"/>
        </w:rPr>
        <w:t>20.5争议解决条款效力</w:t>
      </w:r>
      <w:bookmarkEnd w:id="487"/>
    </w:p>
    <w:bookmarkEnd w:id="488"/>
    <w:bookmarkEnd w:id="489"/>
    <w:bookmarkEnd w:id="490"/>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合同有关争议解决的条款独立存在，合同的变更、解除、终止、无效或者被撤销均不影响其效力。 </w:t>
      </w:r>
    </w:p>
    <w:p>
      <w:pPr>
        <w:pageBreakBefore w:val="0"/>
        <w:widowControl w:val="0"/>
        <w:kinsoku/>
        <w:wordWrap/>
        <w:overflowPunct/>
        <w:topLinePunct w:val="0"/>
        <w:autoSpaceDE w:val="0"/>
        <w:autoSpaceDN w:val="0"/>
        <w:bidi w:val="0"/>
        <w:adjustRightInd w:val="0"/>
        <w:spacing w:line="480" w:lineRule="exact"/>
        <w:ind w:firstLine="480" w:firstLineChars="200"/>
        <w:jc w:val="left"/>
        <w:outlineLvl w:val="0"/>
        <w:rPr>
          <w:rFonts w:ascii="华文中宋" w:hAnsi="华文中宋" w:eastAsiaTheme="minorEastAsia"/>
          <w:b/>
          <w:sz w:val="24"/>
          <w:szCs w:val="44"/>
        </w:rPr>
      </w:pPr>
      <w:r>
        <w:rPr>
          <w:rFonts w:hint="eastAsia" w:asciiTheme="minorEastAsia" w:hAnsiTheme="minorEastAsia" w:eastAsiaTheme="minorEastAsia" w:cstheme="minorEastAsia"/>
          <w:color w:val="000000"/>
          <w:sz w:val="24"/>
          <w:szCs w:val="24"/>
        </w:rPr>
        <w:br w:type="page"/>
      </w:r>
      <w:bookmarkStart w:id="491" w:name="_Toc2516"/>
      <w:r>
        <w:rPr>
          <w:rStyle w:val="71"/>
          <w:rFonts w:eastAsiaTheme="minorEastAsia"/>
          <w:b/>
          <w:bCs w:val="0"/>
          <w:sz w:val="24"/>
        </w:rPr>
        <w:t xml:space="preserve">第三部分 </w:t>
      </w:r>
      <w:r>
        <w:rPr>
          <w:rStyle w:val="71"/>
          <w:rFonts w:hint="eastAsia" w:eastAsiaTheme="minorEastAsia"/>
          <w:b/>
          <w:bCs w:val="0"/>
          <w:sz w:val="24"/>
        </w:rPr>
        <w:t>专用合同条款</w:t>
      </w:r>
      <w:bookmarkEnd w:id="491"/>
    </w:p>
    <w:p>
      <w:pPr>
        <w:pStyle w:val="4"/>
        <w:bidi w:val="0"/>
        <w:spacing w:line="480" w:lineRule="exact"/>
        <w:ind w:firstLine="480" w:firstLineChars="200"/>
        <w:rPr>
          <w:rFonts w:eastAsiaTheme="minorEastAsia"/>
          <w:b/>
          <w:bCs w:val="0"/>
        </w:rPr>
      </w:pPr>
      <w:bookmarkStart w:id="492" w:name="_Toc86"/>
      <w:r>
        <w:rPr>
          <w:rFonts w:eastAsiaTheme="minorEastAsia"/>
          <w:b/>
          <w:bCs w:val="0"/>
        </w:rPr>
        <w:t>1</w:t>
      </w:r>
      <w:bookmarkStart w:id="493" w:name="_Toc296890984"/>
      <w:bookmarkStart w:id="494" w:name="_Toc296891196"/>
      <w:bookmarkStart w:id="495" w:name="_Toc296347155"/>
      <w:bookmarkStart w:id="496" w:name="_Toc292559361"/>
      <w:bookmarkStart w:id="497" w:name="_Toc296944495"/>
      <w:bookmarkStart w:id="498" w:name="_Toc296346657"/>
      <w:bookmarkStart w:id="499" w:name="_Toc296503156"/>
      <w:bookmarkStart w:id="500" w:name="_Toc297048342"/>
      <w:bookmarkStart w:id="501" w:name="_Toc292559866"/>
      <w:bookmarkStart w:id="502" w:name="_Toc297120456"/>
      <w:r>
        <w:rPr>
          <w:rFonts w:eastAsiaTheme="minorEastAsia"/>
          <w:b/>
          <w:bCs w:val="0"/>
        </w:rPr>
        <w:t>. 一般约定</w:t>
      </w:r>
      <w:bookmarkEnd w:id="492"/>
    </w:p>
    <w:bookmarkEnd w:id="493"/>
    <w:bookmarkEnd w:id="494"/>
    <w:bookmarkEnd w:id="495"/>
    <w:bookmarkEnd w:id="496"/>
    <w:bookmarkEnd w:id="497"/>
    <w:bookmarkEnd w:id="498"/>
    <w:bookmarkEnd w:id="499"/>
    <w:bookmarkEnd w:id="500"/>
    <w:bookmarkEnd w:id="501"/>
    <w:bookmarkEnd w:id="502"/>
    <w:p>
      <w:pPr>
        <w:pStyle w:val="5"/>
        <w:bidi w:val="0"/>
        <w:spacing w:line="480" w:lineRule="exact"/>
        <w:ind w:firstLine="480" w:firstLineChars="200"/>
        <w:rPr>
          <w:rFonts w:eastAsiaTheme="minorEastAsia"/>
          <w:bCs w:val="0"/>
        </w:rPr>
      </w:pPr>
      <w:bookmarkStart w:id="503" w:name="_Toc23183"/>
      <w:r>
        <w:rPr>
          <w:rFonts w:eastAsiaTheme="minorEastAsia"/>
          <w:bCs w:val="0"/>
        </w:rPr>
        <w:t>1.1 词语定义</w:t>
      </w:r>
      <w:bookmarkEnd w:id="503"/>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1.1.1合同</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1.1.1.10其他合同文件包括：</w:t>
      </w:r>
      <w:r>
        <w:rPr>
          <w:rFonts w:hint="eastAsia" w:ascii="Times New Roman" w:hAnsi="Times New Roman" w:eastAsiaTheme="minorEastAsia"/>
          <w:color w:val="000000"/>
          <w:sz w:val="24"/>
          <w:szCs w:val="32"/>
          <w:u w:val="single"/>
        </w:rPr>
        <w:t>就该项合同文件所做出的补充协议，施工组织设计（经批准的），招标文件及其附件，在合同订立及履行过程中双方有关工程的签证、变更，双方往来文件等形成的与合同有关的文件均构成合同文件组成部分。</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1.1.2 合同当事人及其他相关方</w:t>
      </w:r>
    </w:p>
    <w:p>
      <w:pPr>
        <w:pageBreakBefore w:val="0"/>
        <w:widowControl w:val="0"/>
        <w:kinsoku/>
        <w:wordWrap/>
        <w:overflowPunct/>
        <w:topLinePunct w:val="0"/>
        <w:bidi w:val="0"/>
        <w:spacing w:line="480" w:lineRule="exact"/>
        <w:ind w:firstLine="480" w:firstLineChars="200"/>
        <w:rPr>
          <w:rFonts w:hint="default" w:ascii="Times New Roman" w:hAnsi="Times New Roman" w:eastAsiaTheme="minorEastAsia"/>
          <w:color w:val="000000"/>
          <w:sz w:val="24"/>
          <w:szCs w:val="32"/>
          <w:lang w:val="en-US" w:eastAsia="zh-CN"/>
        </w:rPr>
      </w:pPr>
      <w:r>
        <w:rPr>
          <w:rFonts w:ascii="Times New Roman" w:hAnsi="Times New Roman" w:eastAsiaTheme="minorEastAsia"/>
          <w:color w:val="000000"/>
          <w:sz w:val="24"/>
          <w:szCs w:val="32"/>
        </w:rPr>
        <w:t>1.1.2.4监理人：</w:t>
      </w:r>
      <w:r>
        <w:rPr>
          <w:rFonts w:hint="eastAsia" w:ascii="Times New Roman" w:hAnsi="Times New Roman" w:eastAsiaTheme="minorEastAsia"/>
          <w:color w:val="000000"/>
          <w:sz w:val="24"/>
          <w:szCs w:val="32"/>
          <w:lang w:val="en-US" w:eastAsia="zh-CN"/>
        </w:rPr>
        <w:t>本项目无监理人</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名    称：</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资质类别和等级：</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联系电话：</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电子信箱：</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通信地址：</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1.1.2.5 设计人：</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名    称：</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山东龙建设计集团有限公司</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资质类别和等级：</w:t>
      </w:r>
      <w:r>
        <w:rPr>
          <w:rFonts w:hint="eastAsia" w:ascii="Times New Roman" w:hAnsi="Times New Roman" w:eastAsiaTheme="minorEastAsia"/>
          <w:color w:val="000000"/>
          <w:sz w:val="24"/>
          <w:szCs w:val="32"/>
          <w:u w:val="single"/>
          <w:lang w:val="en-US" w:eastAsia="zh-CN"/>
        </w:rPr>
        <w:t>市政专业乙级</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联系电话：</w:t>
      </w:r>
      <w:r>
        <w:rPr>
          <w:rFonts w:hint="eastAsia" w:ascii="Times New Roman" w:hAnsi="Times New Roman" w:eastAsiaTheme="minorEastAsia"/>
          <w:color w:val="000000"/>
          <w:sz w:val="24"/>
          <w:szCs w:val="32"/>
          <w:u w:val="single"/>
          <w:lang w:val="en-US" w:eastAsia="zh-CN"/>
        </w:rPr>
        <w:t>15610608918</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eastAsia="zh-CN"/>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电子信箱：</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通信地址：</w:t>
      </w:r>
      <w:r>
        <w:rPr>
          <w:rFonts w:hint="eastAsia" w:ascii="Times New Roman" w:hAnsi="Times New Roman" w:eastAsiaTheme="minorEastAsia"/>
          <w:color w:val="000000"/>
          <w:sz w:val="24"/>
          <w:szCs w:val="32"/>
          <w:u w:val="single"/>
          <w:lang w:val="en-US" w:eastAsia="zh-CN"/>
        </w:rPr>
        <w:t>山东省寿光市渤海路金顿大厦8楼</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1.1.3 工程和设备</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1.1.3.7 作为施工现场组成部分的其他场所包括：</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1.1.3.9 永久占地包括：</w:t>
      </w:r>
      <w:r>
        <w:rPr>
          <w:rFonts w:hint="eastAsia" w:ascii="Times New Roman" w:hAnsi="Times New Roman" w:eastAsiaTheme="minorEastAsia"/>
          <w:color w:val="000000"/>
          <w:sz w:val="24"/>
          <w:szCs w:val="32"/>
          <w:u w:val="single"/>
        </w:rPr>
        <w:t>项目批准文件所规定的永久占地</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kern w:val="0"/>
          <w:sz w:val="24"/>
          <w:szCs w:val="32"/>
        </w:rPr>
        <w:t>1.1.3.10 临时占地包括：</w:t>
      </w:r>
      <w:r>
        <w:rPr>
          <w:rFonts w:hint="eastAsia" w:ascii="Times New Roman" w:hAnsi="Times New Roman" w:eastAsiaTheme="minorEastAsia"/>
          <w:color w:val="000000"/>
          <w:sz w:val="24"/>
          <w:szCs w:val="32"/>
          <w:u w:val="single"/>
        </w:rPr>
        <w:t>以现场确定用于施工的场地为准</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Style w:val="5"/>
        <w:bidi w:val="0"/>
        <w:spacing w:line="480" w:lineRule="exact"/>
        <w:ind w:firstLine="480" w:firstLineChars="200"/>
        <w:rPr>
          <w:rFonts w:eastAsiaTheme="minorEastAsia"/>
        </w:rPr>
      </w:pPr>
      <w:bookmarkStart w:id="504" w:name="_Toc9431"/>
      <w:r>
        <w:rPr>
          <w:rFonts w:eastAsiaTheme="minorEastAsia"/>
        </w:rPr>
        <w:t>1.3法律</w:t>
      </w:r>
      <w:bookmarkEnd w:id="504"/>
      <w:r>
        <w:rPr>
          <w:rFonts w:eastAsiaTheme="minorEastAsia"/>
        </w:rPr>
        <w:t xml:space="preserve">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color w:val="000000"/>
          <w:sz w:val="24"/>
          <w:szCs w:val="32"/>
        </w:rPr>
        <w:t>适用于合同的其他规范性文件：</w:t>
      </w:r>
      <w:r>
        <w:rPr>
          <w:rFonts w:hint="eastAsia" w:ascii="Times New Roman" w:hAnsi="Times New Roman" w:eastAsiaTheme="minorEastAsia"/>
          <w:color w:val="000000"/>
          <w:sz w:val="24"/>
          <w:szCs w:val="32"/>
          <w:u w:val="single"/>
        </w:rPr>
        <w:t>《中华人民共和国民法典》、《中华人民共和国建筑法》、《建设工程质量管理条例》(市、区)现行有关法律、法规。当国家、行业、工程所在地地方标准不一致时，按照现行的建设工程验收规范、标准，进行验收，以较为严格的为准。</w:t>
      </w:r>
    </w:p>
    <w:p>
      <w:pPr>
        <w:pStyle w:val="5"/>
        <w:bidi w:val="0"/>
        <w:spacing w:line="480" w:lineRule="exact"/>
        <w:ind w:firstLine="480" w:firstLineChars="200"/>
        <w:rPr>
          <w:rFonts w:eastAsiaTheme="minorEastAsia"/>
        </w:rPr>
      </w:pPr>
      <w:bookmarkStart w:id="505" w:name="_Toc17555"/>
      <w:r>
        <w:rPr>
          <w:rFonts w:eastAsiaTheme="minorEastAsia"/>
        </w:rPr>
        <w:t>1.4 标准和规范</w:t>
      </w:r>
      <w:bookmarkEnd w:id="505"/>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1.4.1适用于工程的标准规范包括：</w:t>
      </w:r>
      <w:r>
        <w:rPr>
          <w:rFonts w:hint="eastAsia" w:ascii="Times New Roman" w:hAnsi="Times New Roman" w:eastAsiaTheme="minorEastAsia"/>
          <w:color w:val="000000"/>
          <w:kern w:val="0"/>
          <w:sz w:val="24"/>
          <w:szCs w:val="32"/>
          <w:u w:val="single"/>
        </w:rPr>
        <w:t>国家、行业、地方现行标准及规范、现行最新版《工程建设标准强制性条文》、《建筑工程施工质量验收统一标准》、《2013 工程量清单计价规范》、各专业工程施工质量验收规范(当国家、行业、工程所在地地方标准不一致时，按照现行的建设工程验收规范、标准，进行验收，以较为严格的为准)。</w:t>
      </w:r>
    </w:p>
    <w:p>
      <w:pPr>
        <w:pageBreakBefore w:val="0"/>
        <w:widowControl w:val="0"/>
        <w:kinsoku/>
        <w:wordWrap/>
        <w:overflowPunct/>
        <w:topLinePunct w:val="0"/>
        <w:bidi w:val="0"/>
        <w:spacing w:line="480" w:lineRule="exact"/>
        <w:ind w:firstLine="480" w:firstLineChars="200"/>
        <w:outlineLvl w:val="9"/>
        <w:rPr>
          <w:rFonts w:hint="eastAsia"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1.4.2 发包人提供国外标准、规范的名称：</w:t>
      </w:r>
      <w:r>
        <w:rPr>
          <w:rFonts w:hint="eastAsia" w:ascii="Times New Roman" w:hAnsi="Times New Roman" w:eastAsiaTheme="minorEastAsia"/>
          <w:color w:val="000000"/>
          <w:kern w:val="0"/>
          <w:sz w:val="24"/>
          <w:szCs w:val="32"/>
        </w:rPr>
        <w:t xml:space="preserve"> </w:t>
      </w:r>
      <w:r>
        <w:rPr>
          <w:rFonts w:hint="eastAsia"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lang w:val="en-US" w:eastAsia="zh-CN"/>
        </w:rPr>
        <w:t>/</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发包人提供国外标准、规范的份数：</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lang w:val="en-US" w:eastAsia="zh-CN"/>
        </w:rPr>
        <w:t>/</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发包人提供国外标准、规范的名称：</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lang w:val="en-US" w:eastAsia="zh-CN"/>
        </w:rPr>
        <w:t>/</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没有成文规范、标准规定的约定:如果国内没有相应标准、规范时根据施工实际情况，由发包人提出施工技术要求，承包人按要求和时间提出施工工艺，经发包人、监理人认可后执行</w:t>
      </w:r>
    </w:p>
    <w:p>
      <w:pPr>
        <w:pageBreakBefore w:val="0"/>
        <w:widowControl w:val="0"/>
        <w:kinsoku/>
        <w:wordWrap/>
        <w:overflowPunct/>
        <w:topLinePunct w:val="0"/>
        <w:bidi w:val="0"/>
        <w:spacing w:line="480" w:lineRule="exact"/>
        <w:ind w:left="681" w:leftChars="284"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1.4.3发包人对工程的技术标准和功能要求的特殊要求：</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506" w:name="_Toc3408"/>
      <w:r>
        <w:rPr>
          <w:rFonts w:eastAsiaTheme="minorEastAsia"/>
        </w:rPr>
        <w:t>1.5 合同文件的优先顺序</w:t>
      </w:r>
      <w:bookmarkEnd w:id="506"/>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合同文件组成及优先顺序为：</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（1）合同协议书;</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（2）中标通知书;</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（3）投标函及投标函附录;</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（4）专用合同条款及其附件;</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（5）通用合同条款;</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（6）技术标准和要求;</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（7）图纸;</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（8）已标价工程量清单或预算书；</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（9）双方约定的其他合同文件或承诺文件(如有)</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合同履行中，发包人与承包人有关工程的有效的治商、变更等书面协议或文件视为本合同的组成部分。</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上述各项合同文件包括双方就该项合同文件所作出的补充和修改，属于同一类内容的合同文件应以最新签署的为准。如各类文件之间存在不明确或不一致之处，以本合同约定次序在先者为准。</w:t>
      </w:r>
    </w:p>
    <w:p>
      <w:pPr>
        <w:pStyle w:val="5"/>
        <w:bidi w:val="0"/>
        <w:spacing w:line="480" w:lineRule="exact"/>
        <w:ind w:firstLine="480" w:firstLineChars="200"/>
        <w:rPr>
          <w:rFonts w:eastAsiaTheme="minorEastAsia"/>
        </w:rPr>
      </w:pPr>
      <w:bookmarkStart w:id="507" w:name="_Toc4152"/>
      <w:r>
        <w:rPr>
          <w:rFonts w:eastAsiaTheme="minorEastAsia"/>
        </w:rPr>
        <w:t>1.6 图纸和承包人文件</w:t>
      </w:r>
      <w:bookmarkEnd w:id="507"/>
      <w:r>
        <w:rPr>
          <w:rFonts w:eastAsiaTheme="minorEastAsia"/>
        </w:rPr>
        <w:tab/>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1.6.1 图纸的提供</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发包人向承包人提供图纸的期限：</w:t>
      </w:r>
      <w:r>
        <w:rPr>
          <w:rFonts w:hint="eastAsia" w:ascii="Times New Roman" w:hAnsi="Times New Roman" w:eastAsiaTheme="minorEastAsia"/>
          <w:color w:val="000000"/>
          <w:sz w:val="24"/>
          <w:szCs w:val="32"/>
          <w:u w:val="single"/>
        </w:rPr>
        <w:t xml:space="preserve">合同签订日后施工前【 </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 xml:space="preserve"> 】天内，发包人提供施工图纸</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发包人向承包人提供图纸的数量：</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发包人向承包人提供图纸的内容：</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1.6.4 承包人文件</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color w:val="000000"/>
          <w:sz w:val="24"/>
          <w:szCs w:val="32"/>
        </w:rPr>
        <w:t>需要由承包人提供的文件，包括</w:t>
      </w:r>
      <w:r>
        <w:rPr>
          <w:rFonts w:hint="eastAsia" w:ascii="Times New Roman" w:hAnsi="Times New Roman" w:eastAsiaTheme="minorEastAsia"/>
          <w:color w:val="000000"/>
          <w:sz w:val="24"/>
          <w:szCs w:val="32"/>
        </w:rPr>
        <w:t>但不限于</w:t>
      </w:r>
      <w:r>
        <w:rPr>
          <w:rFonts w:ascii="Times New Roman" w:hAnsi="Times New Roman" w:eastAsiaTheme="minorEastAsia"/>
          <w:color w:val="000000"/>
          <w:sz w:val="24"/>
          <w:szCs w:val="32"/>
        </w:rPr>
        <w:t>：</w:t>
      </w:r>
      <w:r>
        <w:rPr>
          <w:rFonts w:hint="eastAsia" w:ascii="Times New Roman" w:hAnsi="Times New Roman" w:eastAsiaTheme="minorEastAsia"/>
          <w:color w:val="000000"/>
          <w:sz w:val="24"/>
          <w:szCs w:val="32"/>
          <w:u w:val="single"/>
        </w:rPr>
        <w:t>施工组织设计、专项施工方案(含专家评审)、防汛防台预案、各阶段进度计划、完成量报表、其他施工过程中所需的管理性文件、承包人承包范围内需施工方进一步自行细化的图纸及方案、竣工(备案)资料等:（分项目阶段）</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承包人提供的文件的期限为：</w:t>
      </w:r>
      <w:r>
        <w:rPr>
          <w:rFonts w:hint="eastAsia" w:ascii="Times New Roman" w:hAnsi="Times New Roman" w:eastAsiaTheme="minorEastAsia"/>
          <w:color w:val="000000"/>
          <w:sz w:val="24"/>
          <w:szCs w:val="32"/>
          <w:u w:val="single"/>
        </w:rPr>
        <w:t>适时，以满足施工和发包人要求为准</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承包人提供的文件的数量为：</w:t>
      </w:r>
      <w:r>
        <w:rPr>
          <w:rFonts w:hint="eastAsia" w:ascii="Times New Roman" w:hAnsi="Times New Roman" w:eastAsiaTheme="minorEastAsia"/>
          <w:color w:val="000000"/>
          <w:sz w:val="24"/>
          <w:szCs w:val="32"/>
          <w:u w:val="single"/>
        </w:rPr>
        <w:t>按发包人要求执行</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承包人提供的文件的形式为：</w:t>
      </w:r>
      <w:r>
        <w:rPr>
          <w:rFonts w:hint="eastAsia" w:ascii="Times New Roman" w:hAnsi="Times New Roman" w:eastAsiaTheme="minorEastAsia"/>
          <w:color w:val="000000"/>
          <w:sz w:val="24"/>
          <w:szCs w:val="32"/>
          <w:u w:val="single"/>
        </w:rPr>
        <w:t xml:space="preserve">  书面及电子文件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w:t>
      </w:r>
      <w:r>
        <w:rPr>
          <w:rFonts w:hint="eastAsia" w:ascii="Times New Roman" w:hAnsi="Times New Roman" w:eastAsiaTheme="minorEastAsia"/>
          <w:color w:val="000000"/>
          <w:sz w:val="24"/>
          <w:szCs w:val="32"/>
        </w:rPr>
        <w:t>审批</w:t>
      </w:r>
      <w:r>
        <w:rPr>
          <w:rFonts w:ascii="Times New Roman" w:hAnsi="Times New Roman" w:eastAsiaTheme="minorEastAsia"/>
          <w:color w:val="000000"/>
          <w:sz w:val="24"/>
          <w:szCs w:val="32"/>
        </w:rPr>
        <w:t>承包人文件的期限：</w:t>
      </w:r>
      <w:r>
        <w:rPr>
          <w:rFonts w:hint="eastAsia" w:ascii="Times New Roman" w:hAnsi="Times New Roman" w:eastAsiaTheme="minorEastAsia"/>
          <w:color w:val="000000"/>
          <w:sz w:val="24"/>
          <w:szCs w:val="32"/>
          <w:u w:val="single"/>
        </w:rPr>
        <w:t>依据发包人内部管理流程管理</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1.6.5 现场图纸准备</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关于现场图纸准备的约定：</w:t>
      </w:r>
      <w:r>
        <w:rPr>
          <w:rFonts w:hint="eastAsia" w:ascii="Times New Roman" w:hAnsi="Times New Roman" w:eastAsiaTheme="minorEastAsia"/>
          <w:color w:val="000000"/>
          <w:sz w:val="24"/>
          <w:szCs w:val="32"/>
          <w:u w:val="single"/>
        </w:rPr>
        <w:t>由承包人根据发包人提供的图纸自行准备</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508" w:name="_Toc12628"/>
      <w:r>
        <w:rPr>
          <w:rFonts w:eastAsiaTheme="minorEastAsia"/>
        </w:rPr>
        <w:t>1.7 联络</w:t>
      </w:r>
      <w:bookmarkEnd w:id="508"/>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1.7.1发包人和承包人应当在</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3</w:t>
      </w:r>
      <w:r>
        <w:rPr>
          <w:rFonts w:hint="eastAsia" w:ascii="Times New Roman" w:hAnsi="Times New Roman" w:eastAsiaTheme="minorEastAsia"/>
          <w:color w:val="000000"/>
          <w:sz w:val="24"/>
          <w:szCs w:val="32"/>
          <w:u w:val="single"/>
        </w:rPr>
        <w:t xml:space="preserve"> 】  </w:t>
      </w:r>
      <w:r>
        <w:rPr>
          <w:rFonts w:ascii="Times New Roman" w:hAnsi="Times New Roman" w:eastAsiaTheme="minorEastAsia"/>
          <w:color w:val="000000"/>
          <w:kern w:val="0"/>
          <w:sz w:val="24"/>
          <w:szCs w:val="32"/>
        </w:rPr>
        <w:t>天内将与合同有关的通知、批准、证明、证书、指示、指令、要求、请求、同意、意见、确定和决定等书面函件送达对方当事人</w:t>
      </w:r>
      <w:r>
        <w:rPr>
          <w:rFonts w:hint="eastAsia"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1.7.2 发包人接收文件的地点：</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山东省寿光市北环路杨庄泵站</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发包人指定的接收人为：</w:t>
      </w:r>
      <w:r>
        <w:rPr>
          <w:rFonts w:hint="eastAsia" w:ascii="Times New Roman" w:hAnsi="Times New Roman" w:eastAsiaTheme="minorEastAsia"/>
          <w:color w:val="000000"/>
          <w:kern w:val="0"/>
          <w:sz w:val="24"/>
          <w:szCs w:val="32"/>
          <w:u w:val="single"/>
          <w:lang w:val="en-US" w:eastAsia="zh-CN"/>
        </w:rPr>
        <w:t>贾继远</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承包人接收文件的地点：</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承包人指定的接收人为：</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监理人接收文件的地点：</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监理人指定的接收人为：</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双方保证前述记载之通讯信息（包括：电话号码、电子邮箱、通讯地址）的准确、有效，如一方变更本条记载之通讯信息，须事先以书面形式通知对方。如果一方提供的电话号码、电子邮箱、通讯地址不确切，或者不及时告知另一方变更后的电话号码、电子邮箱、通讯地址，发件方按本合同记载的通讯信息对其发出通知，即视为已履行通知义务。如相关信息或者文件无法送达或未及时送达，收件方自行承担由此可能产生的法律后果。</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收件方若认为邮件封面标题与邮件中实际文件内容不符的，应在收到邮件后三日内通知相对方，逾期视为邮件封面标题与邮件中实际文件内容一致。</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因本合同事项发生争议，司法机关可以通过手机短信或电子邮件、邮寄等一种或多种通讯方式送达法律文书，送达时间以上述送达方式中最先送达的为准。承包人确认接收法律文书的手机号码或电子邮箱或通讯地址为本条记载之手机号码或电子邮箱或通讯地址。承包人确认上述送达方式适用于各个司法阶段，包括但不限于一审、二审、再审、执行以及督促程序；承包人保证电话号码、电子邮箱、通讯地址准确、有效，如果提供的电话号码、电子邮箱、通讯地址不确切，或者不及时告知变更后的电话号码、电子邮箱、通讯地址，使法律文书无法送达或未及时送达，承包人自行承担由此可能产生的法律后果。</w:t>
      </w:r>
    </w:p>
    <w:p>
      <w:pPr>
        <w:pStyle w:val="5"/>
        <w:bidi w:val="0"/>
        <w:spacing w:line="480" w:lineRule="exact"/>
        <w:ind w:firstLine="480" w:firstLineChars="200"/>
        <w:rPr>
          <w:rFonts w:eastAsiaTheme="minorEastAsia"/>
        </w:rPr>
      </w:pPr>
      <w:bookmarkStart w:id="509" w:name="_Toc19701"/>
      <w:r>
        <w:rPr>
          <w:rFonts w:eastAsiaTheme="minorEastAsia"/>
        </w:rPr>
        <w:t>1.10 交通运输</w:t>
      </w:r>
      <w:bookmarkEnd w:id="509"/>
    </w:p>
    <w:p>
      <w:pPr>
        <w:pageBreakBefore w:val="0"/>
        <w:widowControl w:val="0"/>
        <w:kinsoku/>
        <w:wordWrap/>
        <w:overflowPunct/>
        <w:topLinePunct w:val="0"/>
        <w:bidi w:val="0"/>
        <w:spacing w:line="480" w:lineRule="exact"/>
        <w:ind w:firstLine="480" w:firstLineChars="200"/>
        <w:outlineLvl w:val="9"/>
        <w:rPr>
          <w:rFonts w:ascii="Times New Roman" w:hAnsi="Times New Roman" w:eastAsiaTheme="minorEastAsia"/>
          <w:sz w:val="24"/>
          <w:szCs w:val="32"/>
        </w:rPr>
      </w:pPr>
      <w:r>
        <w:rPr>
          <w:rFonts w:ascii="Times New Roman" w:hAnsi="Times New Roman" w:eastAsiaTheme="minorEastAsia"/>
          <w:sz w:val="24"/>
          <w:szCs w:val="32"/>
        </w:rPr>
        <w:t>1</w:t>
      </w:r>
      <w:bookmarkStart w:id="510" w:name="_Toc318581155"/>
      <w:bookmarkStart w:id="511" w:name="_Toc303539100"/>
      <w:bookmarkStart w:id="512" w:name="_Toc312677986"/>
      <w:bookmarkStart w:id="513" w:name="_Toc300934943"/>
      <w:bookmarkStart w:id="514" w:name="_Toc304295521"/>
      <w:r>
        <w:rPr>
          <w:rFonts w:ascii="Times New Roman" w:hAnsi="Times New Roman" w:eastAsiaTheme="minorEastAsia"/>
          <w:sz w:val="24"/>
          <w:szCs w:val="32"/>
        </w:rPr>
        <w:t>.10.1 出入现场的权利</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sz w:val="24"/>
          <w:szCs w:val="32"/>
        </w:rPr>
      </w:pPr>
      <w:r>
        <w:rPr>
          <w:rFonts w:ascii="Times New Roman" w:hAnsi="Times New Roman" w:eastAsiaTheme="minorEastAsia"/>
          <w:sz w:val="24"/>
          <w:szCs w:val="32"/>
        </w:rPr>
        <w:t>关于出入现场的权利的约定：</w:t>
      </w:r>
      <w:r>
        <w:rPr>
          <w:rFonts w:hint="eastAsia" w:ascii="Times New Roman" w:hAnsi="Times New Roman" w:eastAsiaTheme="minorEastAsia"/>
          <w:color w:val="000000"/>
          <w:sz w:val="24"/>
          <w:szCs w:val="32"/>
          <w:u w:val="single"/>
        </w:rPr>
        <w:t>由承包人按照发包人要求负责取得出入施工现场所需的批准手续和全部权利。承包人应协助发包人办理修建场内外道路、桥梁以及其他基础设施的手续</w:t>
      </w:r>
      <w:r>
        <w:rPr>
          <w:rFonts w:ascii="Times New Roman" w:hAnsi="Times New Roman" w:eastAsiaTheme="minorEastAsia"/>
          <w:sz w:val="24"/>
          <w:szCs w:val="32"/>
        </w:rPr>
        <w:t>。</w:t>
      </w:r>
    </w:p>
    <w:bookmarkEnd w:id="510"/>
    <w:bookmarkEnd w:id="511"/>
    <w:bookmarkEnd w:id="512"/>
    <w:bookmarkEnd w:id="513"/>
    <w:bookmarkEnd w:id="514"/>
    <w:p>
      <w:pPr>
        <w:pageBreakBefore w:val="0"/>
        <w:widowControl w:val="0"/>
        <w:kinsoku/>
        <w:wordWrap/>
        <w:overflowPunct/>
        <w:topLinePunct w:val="0"/>
        <w:bidi w:val="0"/>
        <w:spacing w:line="480" w:lineRule="exact"/>
        <w:ind w:firstLine="480" w:firstLineChars="200"/>
        <w:jc w:val="left"/>
        <w:outlineLvl w:val="9"/>
        <w:rPr>
          <w:rFonts w:ascii="Times New Roman" w:hAnsi="Times New Roman" w:eastAsiaTheme="minorEastAsia"/>
          <w:sz w:val="24"/>
          <w:szCs w:val="32"/>
        </w:rPr>
      </w:pPr>
      <w:r>
        <w:rPr>
          <w:rFonts w:ascii="Times New Roman" w:hAnsi="Times New Roman" w:eastAsiaTheme="minorEastAsia"/>
          <w:sz w:val="24"/>
          <w:szCs w:val="32"/>
        </w:rPr>
        <w:t>1</w:t>
      </w:r>
      <w:bookmarkStart w:id="515" w:name="_Toc303539101"/>
      <w:bookmarkStart w:id="516" w:name="_Toc300934944"/>
      <w:bookmarkStart w:id="517" w:name="_Toc312677987"/>
      <w:bookmarkStart w:id="518" w:name="_Toc318581156"/>
      <w:bookmarkStart w:id="519" w:name="_Toc304295522"/>
      <w:r>
        <w:rPr>
          <w:rFonts w:ascii="Times New Roman" w:hAnsi="Times New Roman" w:eastAsiaTheme="minorEastAsia"/>
          <w:sz w:val="24"/>
          <w:szCs w:val="32"/>
        </w:rPr>
        <w:t>.10.3 场内交通</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关于场外交通和场内交通的边界的约定：</w:t>
      </w:r>
      <w:r>
        <w:rPr>
          <w:rFonts w:hint="eastAsia" w:ascii="Times New Roman" w:hAnsi="Times New Roman" w:eastAsiaTheme="minorEastAsia"/>
          <w:color w:val="000000"/>
          <w:sz w:val="24"/>
          <w:szCs w:val="32"/>
          <w:u w:val="single"/>
        </w:rPr>
        <w:t>以项目红线为场外交通和场内交通的边界，红线内的道路为场内交通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关于发包人向承包人免费提供满足工程施工需要的场内道路和交通设施的约定：</w:t>
      </w:r>
      <w:r>
        <w:rPr>
          <w:rFonts w:hint="eastAsia" w:ascii="Times New Roman" w:hAnsi="Times New Roman" w:eastAsiaTheme="minorEastAsia"/>
          <w:color w:val="000000"/>
          <w:sz w:val="24"/>
          <w:szCs w:val="32"/>
          <w:u w:val="single"/>
        </w:rPr>
        <w:t>现场所需全部道路和交通设施由承包人自行解决，费用已包含在合同价款中</w:t>
      </w:r>
      <w:r>
        <w:rPr>
          <w:rFonts w:ascii="Times New Roman" w:hAnsi="Times New Roman" w:eastAsiaTheme="minorEastAsia"/>
          <w:sz w:val="24"/>
          <w:szCs w:val="32"/>
        </w:rPr>
        <w:t>。</w:t>
      </w:r>
      <w:bookmarkEnd w:id="515"/>
      <w:bookmarkEnd w:id="516"/>
      <w:bookmarkEnd w:id="517"/>
      <w:bookmarkEnd w:id="518"/>
      <w:bookmarkEnd w:id="519"/>
      <w:r>
        <w:rPr>
          <w:rFonts w:ascii="Times New Roman" w:hAnsi="Times New Roman" w:eastAsiaTheme="minorEastAsia"/>
          <w:sz w:val="24"/>
          <w:szCs w:val="32"/>
        </w:rPr>
        <w:t xml:space="preserve">  </w:t>
      </w:r>
      <w:bookmarkStart w:id="520" w:name="_Toc318581157"/>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1.10.4超大件和超重件的运输</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运输超大件或超重件所需的道路和桥梁临时加固改造费用和其他有关费用由</w:t>
      </w:r>
      <w:r>
        <w:rPr>
          <w:rFonts w:hint="eastAsia" w:ascii="Times New Roman" w:hAnsi="Times New Roman" w:eastAsiaTheme="minorEastAsia"/>
          <w:sz w:val="24"/>
          <w:szCs w:val="32"/>
          <w:u w:val="single"/>
        </w:rPr>
        <w:t>承包人</w:t>
      </w:r>
      <w:r>
        <w:rPr>
          <w:rFonts w:ascii="Times New Roman" w:hAnsi="Times New Roman" w:eastAsiaTheme="minorEastAsia"/>
          <w:sz w:val="24"/>
          <w:szCs w:val="32"/>
        </w:rPr>
        <w:t>承担。</w:t>
      </w:r>
    </w:p>
    <w:bookmarkEnd w:id="520"/>
    <w:p>
      <w:pPr>
        <w:pStyle w:val="5"/>
        <w:bidi w:val="0"/>
        <w:spacing w:line="480" w:lineRule="exact"/>
        <w:ind w:firstLine="480" w:firstLineChars="200"/>
        <w:rPr>
          <w:rFonts w:eastAsiaTheme="minorEastAsia"/>
        </w:rPr>
      </w:pPr>
      <w:bookmarkStart w:id="521" w:name="_Toc18410"/>
      <w:r>
        <w:rPr>
          <w:rFonts w:eastAsiaTheme="minorEastAsia"/>
        </w:rPr>
        <w:t>1.11 知识产权</w:t>
      </w:r>
      <w:bookmarkEnd w:id="521"/>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Theme="minorEastAsia"/>
          <w:color w:val="000000"/>
          <w:sz w:val="24"/>
          <w:szCs w:val="32"/>
          <w:u w:val="single"/>
        </w:rPr>
        <w:t>发包人</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关于发包人提供的上述文件的使用限制的要求：</w:t>
      </w:r>
      <w:r>
        <w:rPr>
          <w:rFonts w:hint="eastAsia" w:ascii="Times New Roman" w:hAnsi="Times New Roman" w:eastAsiaTheme="minorEastAsia"/>
          <w:color w:val="000000"/>
          <w:sz w:val="24"/>
          <w:szCs w:val="32"/>
          <w:u w:val="single"/>
        </w:rPr>
        <w:t>未经发包人书面同意,承包人不得为了合同以外的目的而复制、使用上述文件或将之提供给任何第三方</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1.11.2 关于承包人为实施工程所编制文件的著作权的归属：</w:t>
      </w:r>
      <w:r>
        <w:rPr>
          <w:rFonts w:hint="eastAsia" w:ascii="Times New Roman" w:hAnsi="Times New Roman" w:eastAsiaTheme="minorEastAsia"/>
          <w:color w:val="000000"/>
          <w:sz w:val="24"/>
          <w:szCs w:val="32"/>
          <w:u w:val="single"/>
        </w:rPr>
        <w:t>发包人</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关于承包人提供的上述文件的使用限制的要求：</w:t>
      </w:r>
      <w:r>
        <w:rPr>
          <w:rFonts w:hint="eastAsia" w:ascii="Times New Roman" w:hAnsi="Times New Roman" w:eastAsiaTheme="minorEastAsia"/>
          <w:color w:val="000000"/>
          <w:sz w:val="24"/>
          <w:szCs w:val="32"/>
          <w:u w:val="single"/>
        </w:rPr>
        <w:t>由发包人安排使用</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outlineLvl w:val="9"/>
        <w:rPr>
          <w:rFonts w:ascii="Times New Roman" w:hAnsi="Times New Roman" w:eastAsiaTheme="minorEastAsia"/>
          <w:color w:val="000000"/>
          <w:kern w:val="0"/>
          <w:sz w:val="24"/>
          <w:szCs w:val="32"/>
        </w:rPr>
      </w:pPr>
      <w:r>
        <w:rPr>
          <w:rFonts w:ascii="Times New Roman" w:hAnsi="Times New Roman" w:eastAsiaTheme="minorEastAsia"/>
          <w:color w:val="000000"/>
          <w:sz w:val="24"/>
          <w:szCs w:val="32"/>
        </w:rPr>
        <w:t>1.11.4 承包人在施工过程中所采用的专利、专有技术、技术秘密的使用费的承担方式：</w:t>
      </w:r>
      <w:r>
        <w:rPr>
          <w:rFonts w:hint="eastAsia" w:ascii="Times New Roman" w:hAnsi="Times New Roman" w:eastAsiaTheme="minorEastAsia"/>
          <w:color w:val="000000"/>
          <w:sz w:val="24"/>
          <w:szCs w:val="32"/>
          <w:u w:val="single"/>
        </w:rPr>
        <w:t>包含在签约合同价中</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after="120"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1.13工程量清单错误的修正</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出现工程量清单错误时，是否调整合同价格：</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允许调整合同价格的工程量偏差范围：</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w:t>
      </w:r>
    </w:p>
    <w:p>
      <w:pPr>
        <w:pStyle w:val="4"/>
        <w:bidi w:val="0"/>
        <w:spacing w:line="480" w:lineRule="exact"/>
        <w:ind w:firstLine="480" w:firstLineChars="200"/>
        <w:rPr>
          <w:rFonts w:eastAsiaTheme="minorEastAsia"/>
        </w:rPr>
      </w:pPr>
      <w:bookmarkStart w:id="522" w:name="_Toc19829"/>
      <w:r>
        <w:rPr>
          <w:rFonts w:eastAsiaTheme="minorEastAsia"/>
        </w:rPr>
        <w:t>2</w:t>
      </w:r>
      <w:bookmarkStart w:id="523" w:name="_Toc292559362"/>
      <w:bookmarkStart w:id="524" w:name="_Toc296944496"/>
      <w:bookmarkStart w:id="525" w:name="_Toc297120457"/>
      <w:bookmarkStart w:id="526" w:name="_Toc296503157"/>
      <w:bookmarkStart w:id="527" w:name="_Toc296347156"/>
      <w:bookmarkStart w:id="528" w:name="_Toc296346658"/>
      <w:bookmarkStart w:id="529" w:name="_Toc297048343"/>
      <w:bookmarkStart w:id="530" w:name="_Toc292559867"/>
      <w:bookmarkStart w:id="531" w:name="_Toc296891197"/>
      <w:bookmarkStart w:id="532" w:name="_Toc296890985"/>
      <w:r>
        <w:rPr>
          <w:rFonts w:eastAsiaTheme="minorEastAsia"/>
        </w:rPr>
        <w:t>. 发包人</w:t>
      </w:r>
      <w:bookmarkEnd w:id="522"/>
    </w:p>
    <w:bookmarkEnd w:id="523"/>
    <w:bookmarkEnd w:id="524"/>
    <w:bookmarkEnd w:id="525"/>
    <w:bookmarkEnd w:id="526"/>
    <w:bookmarkEnd w:id="527"/>
    <w:bookmarkEnd w:id="528"/>
    <w:bookmarkEnd w:id="529"/>
    <w:bookmarkEnd w:id="530"/>
    <w:bookmarkEnd w:id="531"/>
    <w:bookmarkEnd w:id="532"/>
    <w:p>
      <w:pPr>
        <w:pStyle w:val="5"/>
        <w:bidi w:val="0"/>
        <w:spacing w:line="480" w:lineRule="exact"/>
        <w:ind w:firstLine="480" w:firstLineChars="200"/>
        <w:rPr>
          <w:rFonts w:eastAsiaTheme="minorEastAsia"/>
        </w:rPr>
      </w:pPr>
      <w:bookmarkStart w:id="533" w:name="_Toc31173"/>
      <w:r>
        <w:rPr>
          <w:rFonts w:eastAsiaTheme="minorEastAsia"/>
        </w:rPr>
        <w:t>2.2 发包人代表</w:t>
      </w:r>
      <w:bookmarkEnd w:id="533"/>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发包人代表：</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姓    名：</w:t>
      </w:r>
      <w:r>
        <w:rPr>
          <w:rFonts w:hint="eastAsia" w:ascii="Times New Roman" w:hAnsi="Times New Roman" w:eastAsiaTheme="minorEastAsia"/>
          <w:color w:val="000000"/>
          <w:sz w:val="24"/>
          <w:szCs w:val="32"/>
          <w:u w:val="single"/>
          <w:lang w:val="en-US" w:eastAsia="zh-CN"/>
        </w:rPr>
        <w:t xml:space="preserve">贾继远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身份证号：</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职    务：</w:t>
      </w:r>
      <w:r>
        <w:rPr>
          <w:rFonts w:hint="eastAsia" w:ascii="Times New Roman" w:hAnsi="Times New Roman" w:eastAsiaTheme="minorEastAsia"/>
          <w:color w:val="000000"/>
          <w:sz w:val="24"/>
          <w:szCs w:val="32"/>
          <w:u w:val="single"/>
          <w:lang w:val="en-US" w:eastAsia="zh-CN"/>
        </w:rPr>
        <w:t>主管</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联系电话：</w:t>
      </w:r>
      <w:r>
        <w:rPr>
          <w:rFonts w:hint="eastAsia" w:ascii="Times New Roman" w:hAnsi="Times New Roman" w:eastAsiaTheme="minorEastAsia"/>
          <w:color w:val="000000"/>
          <w:sz w:val="24"/>
          <w:szCs w:val="32"/>
          <w:u w:val="single"/>
          <w:lang w:val="en-US" w:eastAsia="zh-CN"/>
        </w:rPr>
        <w:t>17865620911</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电子信箱</w:t>
      </w:r>
      <w:r>
        <w:rPr>
          <w:rFonts w:ascii="Times New Roman" w:hAnsi="Times New Roman" w:eastAsiaTheme="minorEastAsia"/>
          <w:color w:val="000000"/>
          <w:sz w:val="24"/>
          <w:szCs w:val="32"/>
          <w:u w:val="single"/>
        </w:rPr>
        <w:t>：</w:t>
      </w:r>
      <w:r>
        <w:rPr>
          <w:rFonts w:hint="eastAsia" w:ascii="Times New Roman" w:hAnsi="Times New Roman" w:eastAsiaTheme="minorEastAsia"/>
          <w:color w:val="000000"/>
          <w:sz w:val="24"/>
          <w:szCs w:val="32"/>
          <w:u w:val="single"/>
          <w:lang w:val="en-US" w:eastAsia="zh-CN"/>
        </w:rPr>
        <w:t>515118059@qq.com</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通信地址：</w:t>
      </w:r>
      <w:r>
        <w:rPr>
          <w:rFonts w:hint="eastAsia" w:ascii="Times New Roman" w:hAnsi="Times New Roman" w:eastAsiaTheme="minorEastAsia"/>
          <w:color w:val="000000"/>
          <w:sz w:val="24"/>
          <w:szCs w:val="32"/>
          <w:u w:val="single"/>
          <w:lang w:val="en-US" w:eastAsia="zh-CN"/>
        </w:rPr>
        <w:t>山东省寿光市北环路杨庄泵站</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发包人对发包人代表的授权范围如下：</w:t>
      </w:r>
      <w:r>
        <w:rPr>
          <w:rFonts w:hint="eastAsia" w:ascii="Times New Roman" w:hAnsi="Times New Roman" w:eastAsiaTheme="minorEastAsia"/>
          <w:color w:val="000000"/>
          <w:sz w:val="24"/>
          <w:szCs w:val="32"/>
          <w:u w:val="single"/>
        </w:rPr>
        <w:t>负责对工程进度、工程质量和合同执行进行监督检查;负责工程设计问题的协调处理、办理现场签证、工期调整及工程量认定、建安费支付、材料设备品牌型号确认、索赔的支付等与施工现场相关事项;负责组织竣工验收和办理工程结算审计工作。凡涉及对工程质量、工期、设计变更、工程签证、材料、设备品牌及价格、索赔、增加或减少发、承包人义务等事项的确认，除由发包人代表签字确认外，还需经发包人盖章确认后方可生效。未按照上述流程办理的文件，一律不得计入工程竣工结算中。（安全、环保）</w:t>
      </w:r>
      <w:r>
        <w:rPr>
          <w:rFonts w:hint="eastAsia" w:ascii="Times New Roman" w:hAnsi="Times New Roman" w:eastAsiaTheme="minorEastAsia"/>
          <w:color w:val="000000"/>
          <w:sz w:val="24"/>
          <w:szCs w:val="32"/>
          <w:highlight w:val="none"/>
          <w:u w:val="single"/>
        </w:rPr>
        <w:t>（</w:t>
      </w:r>
      <w:r>
        <w:rPr>
          <w:rFonts w:hint="eastAsia" w:ascii="Times New Roman" w:hAnsi="Times New Roman" w:eastAsiaTheme="minorEastAsia"/>
          <w:color w:val="000000"/>
          <w:sz w:val="24"/>
          <w:szCs w:val="32"/>
          <w:highlight w:val="none"/>
        </w:rPr>
        <w:t>发</w:t>
      </w:r>
      <w:r>
        <w:rPr>
          <w:rFonts w:hint="eastAsia" w:ascii="Times New Roman" w:hAnsi="Times New Roman" w:eastAsiaTheme="minorEastAsia"/>
          <w:color w:val="000000"/>
          <w:sz w:val="24"/>
          <w:szCs w:val="32"/>
        </w:rPr>
        <w:t>包人代表超出上述授权范围的行为，对发包人不具有法律约束力。</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发包人权利：</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（1）除每周必须召开的</w:t>
      </w:r>
      <w:r>
        <w:rPr>
          <w:rFonts w:hint="eastAsia" w:ascii="Times New Roman" w:hAnsi="Times New Roman" w:eastAsiaTheme="minorEastAsia"/>
          <w:color w:val="000000"/>
          <w:sz w:val="24"/>
          <w:szCs w:val="32"/>
          <w:lang w:val="en-US" w:eastAsia="zh-CN"/>
        </w:rPr>
        <w:t>施工</w:t>
      </w:r>
      <w:r>
        <w:rPr>
          <w:rFonts w:hint="eastAsia" w:ascii="Times New Roman" w:hAnsi="Times New Roman" w:eastAsiaTheme="minorEastAsia"/>
          <w:color w:val="000000"/>
          <w:sz w:val="24"/>
          <w:szCs w:val="32"/>
        </w:rPr>
        <w:t>例会，发包人可以根据特例情况临时增加会议（频次为半月或月底），会议由发包人代表主持，无论发包人是否参加，会后均应向发包人报送书面会签版会议纪要。</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（2）对用于本项目的材料设备的品质、质量提交质量监督检验机构审查确认的权利</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（3）对合同承包范围及内容进行调整（包括增加或减少部分工程），并保留对主要材料设备的采购方式进行调整的权利，承包人不得拒绝，招标文件及本合同另有规定的除外</w:t>
      </w:r>
    </w:p>
    <w:p>
      <w:pPr>
        <w:pStyle w:val="5"/>
        <w:bidi w:val="0"/>
        <w:spacing w:line="480" w:lineRule="exact"/>
        <w:ind w:firstLine="480" w:firstLineChars="200"/>
        <w:rPr>
          <w:rFonts w:eastAsiaTheme="minorEastAsia"/>
        </w:rPr>
      </w:pPr>
      <w:bookmarkStart w:id="534" w:name="_Toc7537"/>
      <w:r>
        <w:rPr>
          <w:rFonts w:eastAsiaTheme="minorEastAsia"/>
        </w:rPr>
        <w:t>2.4 施工现场、施工条件和基础资料的提供</w:t>
      </w:r>
      <w:bookmarkEnd w:id="534"/>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2.4.1 提供施工现场</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关于发包人移交施工现场的期限要求：</w:t>
      </w:r>
      <w:r>
        <w:rPr>
          <w:rFonts w:hint="eastAsia" w:ascii="Times New Roman" w:hAnsi="Times New Roman" w:eastAsiaTheme="minorEastAsia"/>
          <w:color w:val="000000"/>
          <w:sz w:val="24"/>
          <w:szCs w:val="32"/>
          <w:u w:val="single"/>
        </w:rPr>
        <w:t xml:space="preserve">    开工前【</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 xml:space="preserve">】天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2.4.2 提供施工条件</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关于发包人应负责提供施工</w:t>
      </w:r>
      <w:r>
        <w:rPr>
          <w:rFonts w:hint="eastAsia" w:ascii="Times New Roman" w:hAnsi="Times New Roman" w:eastAsiaTheme="minorEastAsia"/>
          <w:color w:val="000000"/>
          <w:sz w:val="24"/>
          <w:szCs w:val="32"/>
        </w:rPr>
        <w:t>所需要的条件，</w:t>
      </w:r>
      <w:r>
        <w:rPr>
          <w:rFonts w:ascii="Times New Roman" w:hAnsi="Times New Roman" w:eastAsiaTheme="minorEastAsia"/>
          <w:color w:val="000000"/>
          <w:sz w:val="24"/>
          <w:szCs w:val="32"/>
        </w:rPr>
        <w:t>包括：</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  发包人提供的施工条件为本项目地块及周边现状。其它需具备条件由承包人自行完成，相关费用已包含于本合同价款中， 不再另行计费。</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（2）  发包人仅提供场区内施工用水、用电接入点，从接入点至施工场地由承包人自行接通，接通所需费用及施工期间水电费用已包含于本合同价款中， 不再另行计费。</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535" w:name="_Toc23111"/>
      <w:r>
        <w:rPr>
          <w:rFonts w:eastAsiaTheme="minorEastAsia"/>
        </w:rPr>
        <w:t>2.5 资金来源证明及支付担保</w:t>
      </w:r>
      <w:bookmarkEnd w:id="535"/>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发包人提供资金来源证明的期限要求：</w:t>
      </w:r>
      <w:r>
        <w:rPr>
          <w:rFonts w:hint="eastAsia" w:ascii="Times New Roman" w:hAnsi="Times New Roman" w:eastAsiaTheme="minorEastAsia"/>
          <w:color w:val="000000"/>
          <w:sz w:val="24"/>
          <w:szCs w:val="32"/>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发包人是否提供支付担保：</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发包人提供支付担保的形式：</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Style w:val="4"/>
        <w:bidi w:val="0"/>
        <w:spacing w:line="480" w:lineRule="exact"/>
        <w:ind w:firstLine="480" w:firstLineChars="200"/>
        <w:rPr>
          <w:rFonts w:eastAsiaTheme="minorEastAsia"/>
        </w:rPr>
      </w:pPr>
      <w:bookmarkStart w:id="536" w:name="_Toc1830"/>
      <w:r>
        <w:rPr>
          <w:rFonts w:eastAsiaTheme="minorEastAsia"/>
        </w:rPr>
        <w:t>3</w:t>
      </w:r>
      <w:bookmarkStart w:id="537" w:name="_Toc297048344"/>
      <w:bookmarkStart w:id="538" w:name="_Toc297120458"/>
      <w:bookmarkStart w:id="539" w:name="_Toc296503158"/>
      <w:bookmarkStart w:id="540" w:name="_Toc296347157"/>
      <w:bookmarkStart w:id="541" w:name="_Toc292559868"/>
      <w:bookmarkStart w:id="542" w:name="_Toc296890986"/>
      <w:bookmarkStart w:id="543" w:name="_Toc296944497"/>
      <w:bookmarkStart w:id="544" w:name="_Toc292559363"/>
      <w:bookmarkStart w:id="545" w:name="_Toc296891198"/>
      <w:bookmarkStart w:id="546" w:name="_Toc296346659"/>
      <w:r>
        <w:rPr>
          <w:rFonts w:eastAsiaTheme="minorEastAsia"/>
        </w:rPr>
        <w:t>. 承包人</w:t>
      </w:r>
      <w:bookmarkEnd w:id="536"/>
    </w:p>
    <w:bookmarkEnd w:id="537"/>
    <w:bookmarkEnd w:id="538"/>
    <w:bookmarkEnd w:id="539"/>
    <w:bookmarkEnd w:id="540"/>
    <w:bookmarkEnd w:id="541"/>
    <w:bookmarkEnd w:id="542"/>
    <w:bookmarkEnd w:id="543"/>
    <w:bookmarkEnd w:id="544"/>
    <w:bookmarkEnd w:id="545"/>
    <w:bookmarkEnd w:id="546"/>
    <w:p>
      <w:pPr>
        <w:pStyle w:val="5"/>
        <w:bidi w:val="0"/>
        <w:spacing w:line="480" w:lineRule="exact"/>
        <w:ind w:firstLine="480" w:firstLineChars="200"/>
        <w:rPr>
          <w:rFonts w:eastAsiaTheme="minorEastAsia"/>
        </w:rPr>
      </w:pPr>
      <w:bookmarkStart w:id="547" w:name="_Toc1428"/>
      <w:r>
        <w:rPr>
          <w:rFonts w:eastAsiaTheme="minorEastAsia"/>
        </w:rPr>
        <w:t>3.1 承包人的一般义务</w:t>
      </w:r>
      <w:bookmarkEnd w:id="547"/>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hint="eastAsia" w:ascii="Times New Roman" w:hAnsi="Times New Roman" w:eastAsiaTheme="minorEastAsia"/>
          <w:color w:val="000000"/>
          <w:kern w:val="0"/>
          <w:sz w:val="24"/>
          <w:szCs w:val="32"/>
        </w:rPr>
        <w:t>（5）承包人施工完毕后，对所破坏的市政公共设施及道路应修复原貌，若承包人无能力或未在规定的时间内修复，由发包人代为修复，费用由承包人承担。</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kern w:val="0"/>
          <w:sz w:val="24"/>
          <w:szCs w:val="32"/>
        </w:rPr>
        <w:t>（</w:t>
      </w:r>
      <w:r>
        <w:rPr>
          <w:rFonts w:hint="eastAsia" w:ascii="Times New Roman" w:hAnsi="Times New Roman" w:eastAsiaTheme="minorEastAsia"/>
          <w:color w:val="000000"/>
          <w:kern w:val="0"/>
          <w:sz w:val="24"/>
          <w:szCs w:val="32"/>
        </w:rPr>
        <w:t>9</w:t>
      </w:r>
      <w:r>
        <w:rPr>
          <w:rFonts w:ascii="Times New Roman" w:hAnsi="Times New Roman" w:eastAsiaTheme="minorEastAsia"/>
          <w:color w:val="000000"/>
          <w:kern w:val="0"/>
          <w:sz w:val="24"/>
          <w:szCs w:val="32"/>
        </w:rPr>
        <w:t>）</w:t>
      </w:r>
      <w:r>
        <w:rPr>
          <w:rFonts w:ascii="Times New Roman" w:hAnsi="Times New Roman" w:eastAsiaTheme="minorEastAsia"/>
          <w:color w:val="000000"/>
          <w:sz w:val="24"/>
          <w:szCs w:val="32"/>
        </w:rPr>
        <w:t>承包人提交的竣工资料的内容：</w:t>
      </w:r>
      <w:r>
        <w:rPr>
          <w:rFonts w:hint="eastAsia" w:ascii="Times New Roman" w:hAnsi="Times New Roman" w:eastAsiaTheme="minorEastAsia"/>
          <w:color w:val="000000"/>
          <w:sz w:val="24"/>
          <w:szCs w:val="32"/>
          <w:u w:val="single"/>
        </w:rPr>
        <w:t>由承包人按国家工程验收相关规范向发包人提供完整竣工资料</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承包人需要提交的竣工资料套数：</w:t>
      </w:r>
      <w:r>
        <w:rPr>
          <w:rFonts w:hint="eastAsia" w:ascii="Times New Roman" w:hAnsi="Times New Roman" w:eastAsiaTheme="minorEastAsia"/>
          <w:color w:val="000000"/>
          <w:sz w:val="24"/>
          <w:szCs w:val="32"/>
          <w:u w:val="single"/>
        </w:rPr>
        <w:t xml:space="preserve">纸质版【 </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 xml:space="preserve"> 】套，电子版刻光盘【  </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】套</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承包人提交的竣工资料的费用承担：</w:t>
      </w:r>
      <w:r>
        <w:rPr>
          <w:rFonts w:hint="eastAsia" w:ascii="Times New Roman" w:hAnsi="Times New Roman" w:eastAsiaTheme="minorEastAsia"/>
          <w:color w:val="000000"/>
          <w:sz w:val="24"/>
          <w:szCs w:val="32"/>
          <w:u w:val="single"/>
        </w:rPr>
        <w:t>承包人自行承担，已含于合同价款内</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left="729" w:leftChars="304"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承包人提交的竣工资料移交时间：</w:t>
      </w:r>
      <w:r>
        <w:rPr>
          <w:rFonts w:hint="eastAsia" w:ascii="Times New Roman" w:hAnsi="Times New Roman" w:eastAsiaTheme="minorEastAsia"/>
          <w:color w:val="000000"/>
          <w:sz w:val="24"/>
          <w:szCs w:val="32"/>
          <w:u w:val="single"/>
        </w:rPr>
        <w:t>竣工验收后【 28 】天内</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承包人提交的竣工资料形式要求：</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承包人须按当地的档案管理规定对工程竣工备案资料进行收集、签认及整理、归档等，负责所有专业分包工程单位的资料整理、合并、归档及相关文件签署盖章等，负责组织分包工程统一进行阶段性及竣工验收，相关费用已包含在合同价款中，不再另行计取。</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kern w:val="0"/>
          <w:sz w:val="24"/>
          <w:szCs w:val="32"/>
        </w:rPr>
        <w:t>（</w:t>
      </w:r>
      <w:r>
        <w:rPr>
          <w:rFonts w:hint="eastAsia" w:ascii="Times New Roman" w:hAnsi="Times New Roman" w:eastAsiaTheme="minorEastAsia"/>
          <w:color w:val="000000"/>
          <w:kern w:val="0"/>
          <w:sz w:val="24"/>
          <w:szCs w:val="32"/>
        </w:rPr>
        <w:t>10</w:t>
      </w:r>
      <w:r>
        <w:rPr>
          <w:rFonts w:ascii="Times New Roman" w:hAnsi="Times New Roman" w:eastAsiaTheme="minorEastAsia"/>
          <w:color w:val="000000"/>
          <w:kern w:val="0"/>
          <w:sz w:val="24"/>
          <w:szCs w:val="32"/>
        </w:rPr>
        <w:t>）承包人应履行的其他义务：</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①  施工区内临时设施、临时道路、水电管线的施工和保养，施工现场内地下管道和临近建筑物、构筑物及临街交通要道、人行道的保护，费用已包含于本合同价款中，不另行计取。因承包人防护不力而发生事故，相关责任和费用由承包人承担。</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②  协调处理施工场地周围地下管线和邻近建筑物、构筑物、古树名木的关系，其保护工作由承包人负责。其相关费用已经包含于本合同价款中，不再另行计费。</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③  承包人施工完毕后，对所破坏的市政公共设施及道路应修复原貌，若承包人无能力或未在规定的时间内修复，由发包人代为修复，费用由承包人承担。</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④  承包人在开工前必须提供有关人员的上岗证，与本工程无关的人员及设备材料均不得进入现场。</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⑤  承包人应当进行图纸审查，尽到足够的注意。对于图纸的明显错误，例如相关尺寸规格、标高、数量、洞口位置、技术参数等的不一致，各专业图纸之间可能存在的对同一空间部位、同一事项的表述存在不一致乃至漏项，承包人应当在收到图纸后七日内向发包人及</w:t>
      </w:r>
      <w:r>
        <w:rPr>
          <w:rFonts w:hint="eastAsia" w:ascii="Times New Roman" w:hAnsi="Times New Roman" w:eastAsiaTheme="minorEastAsia"/>
          <w:color w:val="000000"/>
          <w:sz w:val="24"/>
          <w:szCs w:val="32"/>
          <w:u w:val="single"/>
          <w:lang w:val="en-US" w:eastAsia="zh-CN"/>
        </w:rPr>
        <w:t>发包</w:t>
      </w:r>
      <w:r>
        <w:rPr>
          <w:rFonts w:hint="eastAsia" w:ascii="Times New Roman" w:hAnsi="Times New Roman" w:eastAsiaTheme="minorEastAsia"/>
          <w:color w:val="000000"/>
          <w:sz w:val="24"/>
          <w:szCs w:val="32"/>
          <w:u w:val="single"/>
        </w:rPr>
        <w:t>人书面报告，并根据发包人的指令执行。因承包人未及时向发包人及监理人报告而造成的工期延误或工程量增加、损失，由承包人全部承担。</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⑥  为避免可能出现的上下水、强弱电、暖通等其他管网布置时相互矛盾，承包人应当在施工前作好上述各专业工程的联合技术交底，并现场放样，经发包人书面认可后方可施工。否则造成的工期延误或工程量增加、损失，由承包人承担。</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⑦  充分考虑工地现场的周围环境、交通道路、现场条件、施工图纸、施工组织设计、施工技术措施、安全文明施工措施等因素，应积极做好综合组织和协调，负责解决施工扰民及民扰问题，如施工工艺需要24小时连续施工的，承包人负责周边单位的协调工作并办理相关手续，此部分费用已包含在本合同价款中，不再另行支付。</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⑧  每月26日之前向发包人报送下月施工进度计划、材料（设备）的进场审批计划、发包人分包工程进场计划和本月完成工程月报（统计周期为上月26日至本月25日），如不按时报送，由此发生的责任和费用由承包人自行承担。施工进度计划、工程月报每项每延报一次，承包人自愿向发包人支付【</w:t>
      </w:r>
      <w:r>
        <w:rPr>
          <w:rFonts w:hint="eastAsia" w:ascii="Times New Roman" w:hAnsi="Times New Roman" w:eastAsiaTheme="minorEastAsia"/>
          <w:color w:val="000000"/>
          <w:sz w:val="24"/>
          <w:szCs w:val="32"/>
          <w:u w:val="single"/>
          <w:lang w:val="en-US" w:eastAsia="zh-CN"/>
        </w:rPr>
        <w:t>5000</w:t>
      </w:r>
      <w:r>
        <w:rPr>
          <w:rFonts w:hint="eastAsia" w:ascii="Times New Roman" w:hAnsi="Times New Roman" w:eastAsiaTheme="minorEastAsia"/>
          <w:color w:val="000000"/>
          <w:sz w:val="24"/>
          <w:szCs w:val="32"/>
          <w:u w:val="single"/>
        </w:rPr>
        <w:t>】元的违约金。</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⑨  承包人须积极配合发包人办理前期手续工作，按发包人要求7天内提供所需资料，否则，每延误一日，承包人按【</w:t>
      </w:r>
      <w:r>
        <w:rPr>
          <w:rFonts w:hint="eastAsia" w:ascii="Times New Roman" w:hAnsi="Times New Roman" w:eastAsiaTheme="minorEastAsia"/>
          <w:color w:val="000000"/>
          <w:sz w:val="24"/>
          <w:szCs w:val="32"/>
          <w:u w:val="single"/>
          <w:lang w:val="en-US" w:eastAsia="zh-CN"/>
        </w:rPr>
        <w:t>1000</w:t>
      </w:r>
      <w:r>
        <w:rPr>
          <w:rFonts w:hint="eastAsia" w:ascii="Times New Roman" w:hAnsi="Times New Roman" w:eastAsiaTheme="minorEastAsia"/>
          <w:color w:val="000000"/>
          <w:sz w:val="24"/>
          <w:szCs w:val="32"/>
          <w:u w:val="single"/>
        </w:rPr>
        <w:t>】元的标准向发包人支付违约金，且发包人有权暂停对承包人的进度款结算及支付工作。</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highlight w:val="none"/>
          <w:u w:val="single"/>
        </w:rPr>
      </w:pPr>
      <w:r>
        <w:rPr>
          <w:rFonts w:hint="eastAsia" w:ascii="Times New Roman" w:hAnsi="Times New Roman" w:eastAsiaTheme="minorEastAsia"/>
          <w:color w:val="000000"/>
          <w:sz w:val="24"/>
          <w:szCs w:val="32"/>
          <w:highlight w:val="none"/>
          <w:u w:val="single"/>
        </w:rPr>
        <w:t>⑩  如发包人需要承包人配合项目贷款、转款工作，承包人应无条件配合。（信息化、验收相关、专项验收、竣工验收）</w:t>
      </w:r>
    </w:p>
    <w:p>
      <w:pPr>
        <w:pStyle w:val="5"/>
        <w:bidi w:val="0"/>
        <w:spacing w:line="480" w:lineRule="exact"/>
        <w:ind w:firstLine="480" w:firstLineChars="200"/>
        <w:rPr>
          <w:rFonts w:eastAsiaTheme="minorEastAsia"/>
        </w:rPr>
      </w:pPr>
      <w:bookmarkStart w:id="548" w:name="_Toc11676"/>
      <w:r>
        <w:rPr>
          <w:rFonts w:eastAsiaTheme="minorEastAsia"/>
        </w:rPr>
        <w:t>3.2 项目经理</w:t>
      </w:r>
      <w:bookmarkEnd w:id="548"/>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kern w:val="0"/>
          <w:sz w:val="24"/>
          <w:szCs w:val="32"/>
        </w:rPr>
        <w:t xml:space="preserve">3.2.1 </w:t>
      </w:r>
      <w:r>
        <w:rPr>
          <w:rFonts w:ascii="Times New Roman" w:hAnsi="Times New Roman" w:eastAsiaTheme="minorEastAsia"/>
          <w:color w:val="000000"/>
          <w:sz w:val="24"/>
          <w:szCs w:val="32"/>
        </w:rPr>
        <w:t>项目经理：</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姓    名：</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身份证号：</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建造师执业资格等级：</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建造师注册证书号：</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建造师执业印章号：</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安全生产考核合格证书号：</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联系电话：</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电子信箱：</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通信地址：</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承包人对项目经理的授权范围如下：</w:t>
      </w:r>
      <w:r>
        <w:rPr>
          <w:rFonts w:hint="eastAsia" w:ascii="Times New Roman" w:hAnsi="Times New Roman" w:eastAsiaTheme="minorEastAsia"/>
          <w:color w:val="000000"/>
          <w:sz w:val="24"/>
          <w:szCs w:val="32"/>
          <w:u w:val="single"/>
        </w:rPr>
        <w:t>对工程的质量、进度、安全文明与本合同管理，代表承包人行使一般权利和义务，承包人所发出的一切通知、签证、函件、会议纪要等书面文件必须由项目经理签字并加盖承包人印章方可产生效力</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关于项目经理每月在施工现场的时间要求：</w:t>
      </w:r>
      <w:r>
        <w:rPr>
          <w:rFonts w:hint="eastAsia" w:ascii="Times New Roman" w:hAnsi="Times New Roman" w:eastAsiaTheme="minorEastAsia"/>
          <w:color w:val="000000"/>
          <w:sz w:val="24"/>
          <w:szCs w:val="32"/>
          <w:u w:val="single"/>
        </w:rPr>
        <w:t>每月驻场的时间不低于22天，驻场时间每少1天，承包人向发包人支付违约金【</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承包人未提交劳动合同，以及没有为项目经理缴纳社会保险证明的违约责任：</w:t>
      </w:r>
      <w:r>
        <w:rPr>
          <w:rFonts w:hint="eastAsia" w:ascii="Times New Roman" w:hAnsi="Times New Roman" w:eastAsiaTheme="minorEastAsia"/>
          <w:color w:val="000000"/>
          <w:sz w:val="24"/>
          <w:szCs w:val="32"/>
          <w:u w:val="single"/>
        </w:rPr>
        <w:t>视为承包人非法转包行为，每发生一次，承包人向发包人支付违约金【</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】元，并于7天内无条件更换符合条件的项目经理；同时，发包人有权解除本合同，并保留追究承包人相关责任的权利</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ascii="Times New Roman" w:hAnsi="Times New Roman" w:eastAsiaTheme="minorEastAsia"/>
          <w:color w:val="000000"/>
          <w:kern w:val="0"/>
          <w:sz w:val="24"/>
          <w:szCs w:val="32"/>
        </w:rPr>
        <w:t>项目经理未经批准，擅自离开施工现场的违约责任：</w:t>
      </w:r>
      <w:r>
        <w:rPr>
          <w:rFonts w:hint="eastAsia" w:ascii="Times New Roman" w:hAnsi="Times New Roman" w:eastAsiaTheme="minorEastAsia"/>
          <w:color w:val="000000"/>
          <w:sz w:val="24"/>
          <w:szCs w:val="32"/>
          <w:u w:val="single"/>
        </w:rPr>
        <w:t>实行请销假制度，请假3天(含3天)内由总监理工程师批准报发包人备案，请假3天以上由总监理工程师报发包人审批。项目经理未经批准，擅自离开施工现场，承包人按每天【</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】元的向发包人支付违约金。项目经理必须按时参加监理例会，每缺勤一人次，承包人向发包人支付违约金【</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rPr>
      </w:pPr>
      <w:r>
        <w:rPr>
          <w:rFonts w:ascii="Times New Roman" w:hAnsi="Times New Roman" w:eastAsiaTheme="minorEastAsia"/>
          <w:color w:val="000000"/>
          <w:sz w:val="24"/>
          <w:szCs w:val="32"/>
        </w:rPr>
        <w:t>3.2.3 承包人擅自更换项目经理的违约责任：</w:t>
      </w:r>
      <w:r>
        <w:rPr>
          <w:rFonts w:hint="eastAsia" w:ascii="Times New Roman" w:hAnsi="Times New Roman" w:eastAsiaTheme="minorEastAsia"/>
          <w:color w:val="000000"/>
          <w:sz w:val="24"/>
          <w:szCs w:val="32"/>
          <w:u w:val="single"/>
        </w:rPr>
        <w:t>发包人应审核确认项目经理是否与投标文件中一致，每发生一次，承包人向发包人支付违约金【</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】元/次。更换后的项目经理应满足项目需求及得到发包人的认可，若条件不满足，承包人应按发包人书面通知进行改正，未按要求改正的，发包人有权解除本合同，同时保留追究相关责任的权利</w:t>
      </w:r>
      <w:r>
        <w:rPr>
          <w:rFonts w:ascii="Times New Roman" w:hAnsi="Times New Roman" w:eastAsiaTheme="minorEastAsia"/>
          <w:color w:val="000000"/>
          <w:sz w:val="24"/>
          <w:szCs w:val="32"/>
          <w:u w:val="single"/>
        </w:rPr>
        <w:t>。</w:t>
      </w:r>
    </w:p>
    <w:p>
      <w:pPr>
        <w:pageBreakBefore w:val="0"/>
        <w:widowControl w:val="0"/>
        <w:kinsoku/>
        <w:wordWrap/>
        <w:overflowPunct/>
        <w:topLinePunct w:val="0"/>
        <w:bidi w:val="0"/>
        <w:spacing w:line="480" w:lineRule="exact"/>
        <w:ind w:firstLine="480" w:firstLineChars="200"/>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 xml:space="preserve">    3.2.4 承包人无正当理由拒绝更换项目经理的违约责任：</w:t>
      </w:r>
      <w:r>
        <w:rPr>
          <w:rFonts w:hint="eastAsia" w:ascii="Times New Roman" w:hAnsi="Times New Roman" w:eastAsiaTheme="minorEastAsia"/>
          <w:color w:val="000000"/>
          <w:sz w:val="24"/>
          <w:szCs w:val="32"/>
          <w:u w:val="single"/>
        </w:rPr>
        <w:t>发包人有权解除本合同，同时保留追究相关责任的权利</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549" w:name="_Toc29756"/>
      <w:r>
        <w:rPr>
          <w:rFonts w:eastAsiaTheme="minorEastAsia"/>
        </w:rPr>
        <w:t>3.3 承包人人员</w:t>
      </w:r>
      <w:bookmarkEnd w:id="549"/>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3.3.1 承包人提交项目管理机构及施工现场管理人员安排报告的期限：</w:t>
      </w:r>
      <w:r>
        <w:rPr>
          <w:rFonts w:hint="eastAsia" w:ascii="Times New Roman" w:hAnsi="Times New Roman" w:eastAsiaTheme="minorEastAsia"/>
          <w:color w:val="000000"/>
          <w:sz w:val="24"/>
          <w:szCs w:val="32"/>
          <w:u w:val="single"/>
        </w:rPr>
        <w:t>执行本条通用条款，并按附件《承包人主要施工管理人员表》要求提供主要管理人员名单</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3.3.3 承包人无正当理由拒绝撤换主要施工管理人员的违约责任：</w:t>
      </w:r>
      <w:r>
        <w:rPr>
          <w:rFonts w:hint="eastAsia" w:ascii="Times New Roman" w:hAnsi="Times New Roman" w:eastAsiaTheme="minorEastAsia"/>
          <w:color w:val="000000"/>
          <w:sz w:val="24"/>
          <w:szCs w:val="32"/>
          <w:u w:val="single"/>
        </w:rPr>
        <w:t>自发包人向承包人提出更换人员书面要求之日起，承包人向发包人支付违约金【</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】元/天，直至承包人更换符合发包人要求的主要施工管理人员为止</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 xml:space="preserve">3.3.4 承包人主要施工管理人员离开施工现场的批准要求：   </w:t>
      </w:r>
      <w:r>
        <w:rPr>
          <w:rFonts w:hint="eastAsia" w:ascii="Times New Roman" w:hAnsi="Times New Roman" w:eastAsiaTheme="minorEastAsia"/>
          <w:color w:val="000000"/>
          <w:sz w:val="24"/>
          <w:szCs w:val="32"/>
          <w:u w:val="single"/>
        </w:rPr>
        <w:t>请假3天(含3天)内由</w:t>
      </w:r>
      <w:r>
        <w:rPr>
          <w:rFonts w:hint="eastAsia" w:ascii="Times New Roman" w:hAnsi="Times New Roman" w:eastAsiaTheme="minorEastAsia"/>
          <w:color w:val="000000"/>
          <w:sz w:val="24"/>
          <w:szCs w:val="32"/>
          <w:u w:val="single"/>
          <w:lang w:val="en-US" w:eastAsia="zh-CN"/>
        </w:rPr>
        <w:t>发包人代表</w:t>
      </w:r>
      <w:r>
        <w:rPr>
          <w:rFonts w:hint="eastAsia" w:ascii="Times New Roman" w:hAnsi="Times New Roman" w:eastAsiaTheme="minorEastAsia"/>
          <w:color w:val="000000"/>
          <w:sz w:val="24"/>
          <w:szCs w:val="32"/>
          <w:u w:val="single"/>
        </w:rPr>
        <w:t>批准报发包人备案；请假3天以上报发包人审批</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3.3.5承包人擅自更换主要施工管理人员的违约责任：</w:t>
      </w:r>
      <w:r>
        <w:rPr>
          <w:rFonts w:hint="eastAsia" w:ascii="Times New Roman" w:hAnsi="Times New Roman" w:eastAsiaTheme="minorEastAsia"/>
          <w:color w:val="000000"/>
          <w:sz w:val="24"/>
          <w:szCs w:val="32"/>
          <w:u w:val="single"/>
        </w:rPr>
        <w:t>每发生一人次，承包人按【</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】元的标准向发包人支付违约金。</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承包人主要施工管理人员擅自离开施工现场的违约责任：</w:t>
      </w:r>
      <w:r>
        <w:rPr>
          <w:rFonts w:hint="eastAsia" w:ascii="Times New Roman" w:hAnsi="Times New Roman" w:eastAsiaTheme="minorEastAsia"/>
          <w:color w:val="000000"/>
          <w:sz w:val="24"/>
          <w:szCs w:val="32"/>
          <w:u w:val="single"/>
        </w:rPr>
        <w:t>每发生一人次，承包人向发包人支付【</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】元违约金。主要技术负责人、生产经理、安全员必须按时参加监理例会，每缺勤一人次，承包人向发包人支付违约金【</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此条补充关于承包人的劳务队伍的约定：</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（1）承包人必须选用成建制的劳务协作单位，杜绝现场的非法用工，并做到持证上岗。</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（2）承包人必须保证按时、足额发放民工工资及支付供应商的款项，发包人有权检查发放、支付情况。</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（3）如发现承包人有拖欠支付民工工资及供应商的款项现象，发包人将暂缓支付进度款，直至承包人纠正为止；发包人有权从承包人的应付工程款中直接扣除，并支付给相关部门、单位或个人。</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4）承包人与劳务单位、供应商之间的任何纠纷与发包人无关，若因为劳务单位、供应商与承包人的纠纷给发包人造成损失，一切责任及损失均由承包人承担，若因此给发包人造成严重社会负面影响，发包人将追究承包人的法律责任并要求赔偿。</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5）承包人支付的工程款，优先支付农民工工资，承包人任何情况下不得拖欠农民工工资，若承包人未按照政府相关规定及时足额发放农民工工资，承包人将承担政府有关部门对承包人的处罚，若发生对项目造成负面影响的情况，发包人暂付工程款，待处理完成后，方支付工程款，且每发生一次，承包人向发包人支付【</w:t>
      </w:r>
      <w:r>
        <w:rPr>
          <w:rFonts w:hint="eastAsia" w:ascii="Times New Roman" w:hAnsi="Times New Roman" w:eastAsiaTheme="minorEastAsia"/>
          <w:color w:val="000000"/>
          <w:sz w:val="24"/>
          <w:szCs w:val="32"/>
          <w:u w:val="single"/>
          <w:lang w:val="en-US" w:eastAsia="zh-CN"/>
        </w:rPr>
        <w:t>10000</w:t>
      </w:r>
      <w:r>
        <w:rPr>
          <w:rFonts w:hint="eastAsia" w:ascii="Times New Roman" w:hAnsi="Times New Roman" w:eastAsiaTheme="minorEastAsia"/>
          <w:color w:val="000000"/>
          <w:sz w:val="24"/>
          <w:szCs w:val="32"/>
          <w:u w:val="single"/>
        </w:rPr>
        <w:t>】元违约金从应付工程款中扣除，承包人承担因此造成的所有直接和间接损失，发包人不承担任何连带责任。</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（6）发包人有权对承包人关于农民工工资支付的资金动向进行监管，如经政府部门或司法、仲裁机构裁决由发包人支付的，发包人有权向承包人追偿。</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7）遵守国家颁布的《保障农民工工资支付条例》等法律法规以及公司《保障农民工工资支付条例》等制度相关要求，至少设置1名专职劳资专管员，履行实名制管理工作职责，同时严格执行实名登记、考勤管理等管理制度，并保证不得因劳资纠纷问题消极怠工、聚众闹事。</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8）全面实行农民工实名制管理制度，并对农民工实名制管理负全部责任，建立职工花名册并办理劳动备案；做好工人实名制管理宣传，督促工人按照总包要求真实考勤，建立劳动计酬手册，记录施工现场作业农民工的身份信息、劳动考勤、工资结算等信息，逐步实现信息化实名制管理。</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（9）建立农民工工资专用账户，专人管理；</w:t>
      </w:r>
    </w:p>
    <w:p>
      <w:pPr>
        <w:pStyle w:val="5"/>
        <w:bidi w:val="0"/>
        <w:spacing w:line="480" w:lineRule="exact"/>
        <w:ind w:firstLine="480" w:firstLineChars="200"/>
        <w:rPr>
          <w:rFonts w:eastAsiaTheme="minorEastAsia"/>
        </w:rPr>
      </w:pPr>
      <w:bookmarkStart w:id="550" w:name="_Toc10788"/>
      <w:r>
        <w:rPr>
          <w:rFonts w:eastAsiaTheme="minorEastAsia"/>
        </w:rPr>
        <w:t>3</w:t>
      </w:r>
      <w:bookmarkStart w:id="551" w:name="_Toc296944498"/>
      <w:bookmarkStart w:id="552" w:name="_Toc296891199"/>
      <w:bookmarkStart w:id="553" w:name="_Toc297123492"/>
      <w:bookmarkStart w:id="554" w:name="_Toc297048345"/>
      <w:bookmarkStart w:id="555" w:name="_Toc296503159"/>
      <w:bookmarkStart w:id="556" w:name="_Toc292559869"/>
      <w:bookmarkStart w:id="557" w:name="_Toc296347158"/>
      <w:bookmarkStart w:id="558" w:name="_Toc297120459"/>
      <w:bookmarkStart w:id="559" w:name="_Toc303539102"/>
      <w:bookmarkStart w:id="560" w:name="_Toc292559364"/>
      <w:bookmarkStart w:id="561" w:name="_Toc312677988"/>
      <w:bookmarkStart w:id="562" w:name="_Toc304295523"/>
      <w:bookmarkStart w:id="563" w:name="_Toc297216151"/>
      <w:bookmarkStart w:id="564" w:name="_Toc296890987"/>
      <w:bookmarkStart w:id="565" w:name="_Toc296346660"/>
      <w:bookmarkStart w:id="566" w:name="_Toc300934945"/>
      <w:r>
        <w:rPr>
          <w:rFonts w:eastAsiaTheme="minorEastAsia"/>
        </w:rPr>
        <w:t>.5 分包</w:t>
      </w:r>
      <w:bookmarkEnd w:id="550"/>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Pr>
        <w:pageBreakBefore w:val="0"/>
        <w:widowControl w:val="0"/>
        <w:kinsoku/>
        <w:wordWrap/>
        <w:overflowPunct/>
        <w:topLinePunct w:val="0"/>
        <w:bidi w:val="0"/>
        <w:spacing w:line="480" w:lineRule="exact"/>
        <w:ind w:firstLine="480" w:firstLineChars="200"/>
        <w:rPr>
          <w:rFonts w:ascii="Times New Roman" w:hAnsi="Times New Roman" w:eastAsiaTheme="minorEastAsia"/>
          <w:sz w:val="24"/>
          <w:szCs w:val="32"/>
        </w:rPr>
      </w:pPr>
      <w:r>
        <w:rPr>
          <w:rFonts w:ascii="Times New Roman" w:hAnsi="Times New Roman" w:eastAsiaTheme="minorEastAsia"/>
          <w:sz w:val="24"/>
          <w:szCs w:val="32"/>
        </w:rPr>
        <w:t>3</w:t>
      </w:r>
      <w:bookmarkStart w:id="567" w:name="_Toc304295524"/>
      <w:bookmarkStart w:id="568" w:name="_Toc296346661"/>
      <w:bookmarkStart w:id="569" w:name="_Toc296890988"/>
      <w:bookmarkStart w:id="570" w:name="_Toc296944499"/>
      <w:bookmarkStart w:id="571" w:name="_Toc297216152"/>
      <w:bookmarkStart w:id="572" w:name="_Toc297123493"/>
      <w:bookmarkStart w:id="573" w:name="_Toc318581158"/>
      <w:bookmarkStart w:id="574" w:name="_Toc296347159"/>
      <w:bookmarkStart w:id="575" w:name="_Toc303539103"/>
      <w:bookmarkStart w:id="576" w:name="_Toc297120460"/>
      <w:bookmarkStart w:id="577" w:name="_Toc292559365"/>
      <w:bookmarkStart w:id="578" w:name="_Toc296891200"/>
      <w:bookmarkStart w:id="579" w:name="_Toc300934946"/>
      <w:bookmarkStart w:id="580" w:name="_Toc297048346"/>
      <w:bookmarkStart w:id="581" w:name="_Toc312677989"/>
      <w:bookmarkStart w:id="582" w:name="_Toc292559870"/>
      <w:bookmarkStart w:id="583" w:name="_Toc296503160"/>
      <w:r>
        <w:rPr>
          <w:rFonts w:ascii="Times New Roman" w:hAnsi="Times New Roman" w:eastAsiaTheme="minorEastAsia"/>
          <w:sz w:val="24"/>
          <w:szCs w:val="32"/>
        </w:rPr>
        <w:t>.5.1 分包的一般约定</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sz w:val="24"/>
          <w:szCs w:val="32"/>
        </w:rPr>
      </w:pPr>
      <w:r>
        <w:rPr>
          <w:rFonts w:hint="eastAsia" w:ascii="Times New Roman" w:hAnsi="Times New Roman" w:eastAsiaTheme="minorEastAsia"/>
          <w:sz w:val="24"/>
          <w:szCs w:val="32"/>
        </w:rPr>
        <w:t>约定的分包工作事项：</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sz w:val="24"/>
          <w:szCs w:val="32"/>
        </w:rPr>
      </w:pPr>
      <w:r>
        <w:rPr>
          <w:rFonts w:hint="eastAsia" w:ascii="Times New Roman" w:hAnsi="Times New Roman" w:eastAsiaTheme="minorEastAsia"/>
          <w:sz w:val="24"/>
          <w:szCs w:val="32"/>
        </w:rPr>
        <w:t>3.5.1.1</w:t>
      </w:r>
      <w:r>
        <w:rPr>
          <w:rFonts w:hint="eastAsia" w:ascii="Times New Roman" w:hAnsi="Times New Roman" w:eastAsiaTheme="minorEastAsia"/>
          <w:sz w:val="24"/>
          <w:szCs w:val="32"/>
          <w:u w:val="single"/>
        </w:rPr>
        <w:t>承包人经发包人认可后，可遵循《合同编撰单位根据项目要求自行填写》及其他法律法规将非主体工程、非关键性工作依法分包给具有相应资质的单位。</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sz w:val="24"/>
          <w:szCs w:val="32"/>
        </w:rPr>
      </w:pPr>
      <w:r>
        <w:rPr>
          <w:rFonts w:hint="eastAsia" w:ascii="Times New Roman" w:hAnsi="Times New Roman" w:eastAsiaTheme="minorEastAsia"/>
          <w:sz w:val="24"/>
          <w:szCs w:val="32"/>
        </w:rPr>
        <w:t>3.5.1.2</w:t>
      </w:r>
      <w:r>
        <w:rPr>
          <w:rFonts w:hint="eastAsia" w:ascii="Times New Roman" w:hAnsi="Times New Roman" w:eastAsiaTheme="minorEastAsia"/>
          <w:sz w:val="24"/>
          <w:szCs w:val="32"/>
          <w:u w:val="single"/>
        </w:rPr>
        <w:t>禁止承包人将其承包的全部建筑工程转包给他人,禁止承包人将其承包的全部建筑工程肢解以后以分包的名义分别转包给他人。工程主体结构及关键性工作必须由承包人自行完成,主体结构不得进行专业工程分包，专业分包单位不得再进行专业工程分包。</w:t>
      </w:r>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pageBreakBefore w:val="0"/>
        <w:widowControl w:val="0"/>
        <w:kinsoku/>
        <w:wordWrap/>
        <w:overflowPunct/>
        <w:topLinePunct w:val="0"/>
        <w:bidi w:val="0"/>
        <w:spacing w:line="480" w:lineRule="exact"/>
        <w:ind w:firstLine="480" w:firstLineChars="200"/>
        <w:rPr>
          <w:rFonts w:ascii="Times New Roman" w:hAnsi="Times New Roman" w:eastAsiaTheme="minorEastAsia"/>
          <w:sz w:val="24"/>
          <w:szCs w:val="32"/>
        </w:rPr>
      </w:pPr>
      <w:r>
        <w:rPr>
          <w:rFonts w:ascii="Times New Roman" w:hAnsi="Times New Roman" w:eastAsiaTheme="minorEastAsia"/>
          <w:sz w:val="24"/>
          <w:szCs w:val="32"/>
        </w:rPr>
        <w:t xml:space="preserve">    3</w:t>
      </w:r>
      <w:bookmarkStart w:id="584" w:name="_Toc312677990"/>
      <w:bookmarkStart w:id="585" w:name="_Toc318581159"/>
      <w:r>
        <w:rPr>
          <w:rFonts w:ascii="Times New Roman" w:hAnsi="Times New Roman" w:eastAsiaTheme="minorEastAsia"/>
          <w:sz w:val="24"/>
          <w:szCs w:val="32"/>
        </w:rPr>
        <w:t>.5.2分包的确定</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ascii="Times New Roman" w:hAnsi="Times New Roman" w:eastAsiaTheme="minorEastAsia"/>
          <w:sz w:val="24"/>
          <w:szCs w:val="32"/>
        </w:rPr>
        <w:t>允许分包的专业工程包括：</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其他关于分包的约定：</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rPr>
        <w:t>（1）违法分包：</w:t>
      </w:r>
      <w:r>
        <w:rPr>
          <w:rFonts w:hint="eastAsia" w:ascii="Times New Roman" w:hAnsi="Times New Roman" w:eastAsiaTheme="minorEastAsia"/>
          <w:color w:val="000000"/>
          <w:sz w:val="24"/>
          <w:szCs w:val="32"/>
          <w:u w:val="single"/>
        </w:rPr>
        <w:t>①承包人将建设工程分包给不具备相应资质条件的单位的;②本合同中未有约定，又未经发包人认可，承包人将其承包的部分建设工程交由其他单位完成的:③承包人将建设工程主体结构的施工或关键性工作分包给其他单位的;④分包单位将其承包的建设工程再分包的;⑤法律法规规定的其他违法分包行为。</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rPr>
        <w:t>（2）转包：</w:t>
      </w:r>
      <w:r>
        <w:rPr>
          <w:rFonts w:hint="eastAsia" w:ascii="Times New Roman" w:hAnsi="Times New Roman" w:eastAsiaTheme="minorEastAsia"/>
          <w:color w:val="000000"/>
          <w:sz w:val="24"/>
          <w:szCs w:val="32"/>
          <w:u w:val="single"/>
        </w:rPr>
        <w:t>①承包人承包建设工程后，不履行合同约定的责任和义务，将其承包的全部建设工程转给他人;②承包人将其承包的全部建设工程肢解以后以分包的名义分别转给其他单位承包的行为;③承包人或专业承包单位未在施工现场设立项目管理机构或未派驻项目负责人、技术负责人、质量管理负责人、安全管理负责人等主要管理人员，不履行管理义务、未对该工程的施工活动进行组织管理的;④承包人或专业承包单位通过采取合作、联营、个人承包等形式或名义,直接或变相地将其承包的全部工程转给其他单位或个人施工的。⑤法律法规规定的其他转包行为。</w:t>
      </w:r>
    </w:p>
    <w:p>
      <w:pPr>
        <w:pageBreakBefore w:val="0"/>
        <w:widowControl w:val="0"/>
        <w:kinsoku/>
        <w:wordWrap/>
        <w:overflowPunct/>
        <w:topLinePunct w:val="0"/>
        <w:bidi w:val="0"/>
        <w:spacing w:line="480" w:lineRule="exact"/>
        <w:ind w:firstLine="480" w:firstLineChars="200"/>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承包人转包、违法分包，或未经发包人同意进行分包的，转包、分包合同无效，且发包人有权将转包单位、违法分包单位或未经发包人同意确定的分包单位驱逐出场。承包人承担违约责任以及赔偿给发包人造成的损失。</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sz w:val="24"/>
          <w:szCs w:val="32"/>
        </w:rPr>
      </w:pPr>
      <w:r>
        <w:rPr>
          <w:rFonts w:ascii="Times New Roman" w:hAnsi="Times New Roman" w:eastAsiaTheme="minorEastAsia"/>
          <w:sz w:val="24"/>
          <w:szCs w:val="32"/>
        </w:rPr>
        <w:t>3.5.4 分包合同价款</w:t>
      </w:r>
    </w:p>
    <w:p>
      <w:pPr>
        <w:pageBreakBefore w:val="0"/>
        <w:widowControl w:val="0"/>
        <w:kinsoku/>
        <w:wordWrap/>
        <w:overflowPunct/>
        <w:topLinePunct w:val="0"/>
        <w:bidi w:val="0"/>
        <w:spacing w:line="480" w:lineRule="exact"/>
        <w:ind w:firstLine="480" w:firstLineChars="200"/>
        <w:rPr>
          <w:rFonts w:ascii="Times New Roman" w:hAnsi="Times New Roman" w:eastAsiaTheme="minorEastAsia"/>
          <w:sz w:val="24"/>
          <w:szCs w:val="32"/>
        </w:rPr>
      </w:pPr>
      <w:r>
        <w:rPr>
          <w:rFonts w:ascii="Times New Roman" w:hAnsi="Times New Roman" w:eastAsiaTheme="minorEastAsia"/>
          <w:sz w:val="24"/>
          <w:szCs w:val="32"/>
        </w:rPr>
        <w:t>关于分包合同价款支付的约定：</w:t>
      </w:r>
      <w:r>
        <w:rPr>
          <w:rFonts w:hint="eastAsia" w:ascii="Times New Roman" w:hAnsi="Times New Roman" w:eastAsiaTheme="minorEastAsia"/>
          <w:color w:val="000000"/>
          <w:sz w:val="24"/>
          <w:szCs w:val="32"/>
          <w:u w:val="single"/>
        </w:rPr>
        <w:t>（各单位签订合同时可明确向发包人备案的义务和承包人对农民工工资支付的承诺等条款）</w:t>
      </w:r>
      <w:r>
        <w:rPr>
          <w:rFonts w:ascii="Times New Roman" w:hAnsi="Times New Roman" w:eastAsiaTheme="minorEastAsia"/>
          <w:color w:val="000000"/>
          <w:sz w:val="24"/>
          <w:szCs w:val="32"/>
        </w:rPr>
        <w:t>。</w:t>
      </w:r>
    </w:p>
    <w:bookmarkEnd w:id="584"/>
    <w:bookmarkEnd w:id="585"/>
    <w:p>
      <w:pPr>
        <w:pStyle w:val="5"/>
        <w:bidi w:val="0"/>
        <w:spacing w:line="480" w:lineRule="exact"/>
        <w:ind w:firstLine="480" w:firstLineChars="200"/>
        <w:rPr>
          <w:rFonts w:eastAsiaTheme="minorEastAsia"/>
        </w:rPr>
      </w:pPr>
      <w:bookmarkStart w:id="586" w:name="_Toc22858"/>
      <w:r>
        <w:rPr>
          <w:rFonts w:eastAsiaTheme="minorEastAsia"/>
        </w:rPr>
        <w:t>3.6 工程照管与成品、半成品保护</w:t>
      </w:r>
      <w:bookmarkEnd w:id="586"/>
    </w:p>
    <w:p>
      <w:pPr>
        <w:pageBreakBefore w:val="0"/>
        <w:widowControl w:val="0"/>
        <w:kinsoku/>
        <w:wordWrap/>
        <w:overflowPunct/>
        <w:topLinePunct w:val="0"/>
        <w:bidi w:val="0"/>
        <w:spacing w:before="120" w:after="120" w:line="480" w:lineRule="exact"/>
        <w:ind w:firstLine="480" w:firstLineChars="200"/>
        <w:rPr>
          <w:rFonts w:ascii="Times New Roman" w:hAnsi="Times New Roman" w:eastAsiaTheme="minorEastAsia"/>
          <w:color w:val="000000"/>
          <w:kern w:val="0"/>
          <w:sz w:val="24"/>
          <w:szCs w:val="32"/>
          <w:u w:val="single"/>
        </w:rPr>
      </w:pPr>
      <w:r>
        <w:rPr>
          <w:rFonts w:ascii="Times New Roman" w:hAnsi="Times New Roman" w:eastAsiaTheme="minorEastAsia"/>
          <w:color w:val="000000"/>
          <w:kern w:val="0"/>
          <w:sz w:val="24"/>
          <w:szCs w:val="32"/>
        </w:rPr>
        <w:t>承包人负责照管工程及工程相关的材料、工程设备的起始时间：</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lang w:val="en-US" w:eastAsia="zh-CN"/>
        </w:rPr>
        <w:t>签订合同后开始，验收合格后结束</w:t>
      </w:r>
      <w:r>
        <w:rPr>
          <w:rFonts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rPr>
        <w:t>。</w:t>
      </w:r>
    </w:p>
    <w:p>
      <w:pPr>
        <w:pStyle w:val="5"/>
        <w:bidi w:val="0"/>
        <w:spacing w:line="480" w:lineRule="exact"/>
        <w:ind w:firstLine="480" w:firstLineChars="200"/>
        <w:rPr>
          <w:rFonts w:eastAsiaTheme="minorEastAsia"/>
        </w:rPr>
      </w:pPr>
      <w:bookmarkStart w:id="587" w:name="_Toc20139"/>
      <w:r>
        <w:rPr>
          <w:rFonts w:eastAsiaTheme="minorEastAsia"/>
        </w:rPr>
        <w:t>3.7 履约担保</w:t>
      </w:r>
      <w:bookmarkEnd w:id="587"/>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承包人是否提供履约担保：</w:t>
      </w:r>
      <w:r>
        <w:rPr>
          <w:rFonts w:hint="eastAsia" w:ascii="Times New Roman" w:hAnsi="Times New Roman" w:eastAsiaTheme="minorEastAsia"/>
          <w:color w:val="000000"/>
          <w:sz w:val="24"/>
          <w:szCs w:val="32"/>
          <w:lang w:val="en-US" w:eastAsia="zh-CN"/>
        </w:rPr>
        <w:t>不提供</w:t>
      </w:r>
      <w:r>
        <w:rPr>
          <w:rFonts w:ascii="Times New Roman" w:hAnsi="Times New Roman" w:eastAsiaTheme="minorEastAsia"/>
          <w:color w:val="000000"/>
          <w:sz w:val="24"/>
          <w:szCs w:val="32"/>
        </w:rPr>
        <w:t>。</w:t>
      </w:r>
    </w:p>
    <w:p>
      <w:pPr>
        <w:pStyle w:val="4"/>
        <w:numPr>
          <w:ilvl w:val="0"/>
          <w:numId w:val="4"/>
        </w:numPr>
        <w:bidi w:val="0"/>
        <w:spacing w:line="480" w:lineRule="exact"/>
        <w:ind w:firstLine="480" w:firstLineChars="200"/>
        <w:rPr>
          <w:rFonts w:hint="default" w:ascii="宋体" w:hAnsi="宋体" w:eastAsiaTheme="minorEastAsia"/>
          <w:b/>
          <w:lang w:eastAsia="zh-CN"/>
        </w:rPr>
      </w:pPr>
      <w:bookmarkStart w:id="588" w:name="_Toc296891202"/>
      <w:bookmarkStart w:id="589" w:name="_Toc296347161"/>
      <w:bookmarkStart w:id="590" w:name="_Toc296346663"/>
      <w:bookmarkStart w:id="591" w:name="_Toc292559871"/>
      <w:bookmarkStart w:id="592" w:name="_Toc297048348"/>
      <w:bookmarkStart w:id="593" w:name="_Toc267251413"/>
      <w:bookmarkStart w:id="594" w:name="_Toc296890990"/>
      <w:bookmarkStart w:id="595" w:name="_Toc296944501"/>
      <w:bookmarkStart w:id="596" w:name="_Toc292559366"/>
      <w:bookmarkStart w:id="597" w:name="_Toc297120462"/>
      <w:bookmarkStart w:id="598" w:name="_Toc296503162"/>
      <w:bookmarkStart w:id="599" w:name="_Toc17852"/>
      <w:r>
        <w:rPr>
          <w:rFonts w:ascii="宋体" w:hAnsi="宋体" w:eastAsiaTheme="minorEastAsia"/>
          <w:b/>
        </w:rPr>
        <w:t>监</w:t>
      </w:r>
      <w:bookmarkEnd w:id="588"/>
      <w:bookmarkEnd w:id="589"/>
      <w:bookmarkEnd w:id="590"/>
      <w:bookmarkEnd w:id="591"/>
      <w:bookmarkEnd w:id="592"/>
      <w:bookmarkEnd w:id="593"/>
      <w:bookmarkEnd w:id="594"/>
      <w:bookmarkEnd w:id="595"/>
      <w:bookmarkEnd w:id="596"/>
      <w:bookmarkEnd w:id="597"/>
      <w:bookmarkEnd w:id="598"/>
      <w:r>
        <w:rPr>
          <w:rFonts w:ascii="宋体" w:hAnsi="宋体" w:eastAsiaTheme="minorEastAsia"/>
          <w:b/>
        </w:rPr>
        <w:t>理人</w:t>
      </w:r>
      <w:bookmarkEnd w:id="599"/>
      <w:r>
        <w:rPr>
          <w:rFonts w:hint="default" w:ascii="宋体" w:hAnsi="宋体" w:eastAsiaTheme="minorEastAsia"/>
          <w:b/>
          <w:lang w:eastAsia="zh-CN"/>
        </w:rPr>
        <w:t>：</w:t>
      </w:r>
    </w:p>
    <w:p>
      <w:pPr>
        <w:pStyle w:val="4"/>
        <w:numPr>
          <w:ilvl w:val="-1"/>
          <w:numId w:val="0"/>
        </w:numPr>
        <w:bidi w:val="0"/>
        <w:spacing w:line="480" w:lineRule="exact"/>
        <w:ind w:firstLine="480" w:firstLineChars="200"/>
        <w:rPr>
          <w:rFonts w:hint="default" w:eastAsiaTheme="minorEastAsia"/>
          <w:lang w:val="en-US" w:eastAsia="zh-CN"/>
        </w:rPr>
      </w:pPr>
      <w:r>
        <w:rPr>
          <w:rFonts w:hint="default" w:ascii="宋体" w:hAnsi="宋体" w:eastAsiaTheme="minorEastAsia"/>
          <w:b/>
          <w:lang w:val="en-US" w:eastAsia="zh-CN"/>
        </w:rPr>
        <w:t>本项目无监理人</w:t>
      </w:r>
      <w:r>
        <w:rPr>
          <w:rFonts w:hint="eastAsia" w:ascii="宋体" w:hAnsi="宋体" w:eastAsiaTheme="minorEastAsia"/>
          <w:b/>
          <w:lang w:val="en-US" w:eastAsia="zh-CN"/>
        </w:rPr>
        <w:t>，监理人职责由发包人执行。</w:t>
      </w:r>
    </w:p>
    <w:p>
      <w:pPr>
        <w:pStyle w:val="4"/>
        <w:bidi w:val="0"/>
        <w:spacing w:line="480" w:lineRule="exact"/>
        <w:ind w:firstLine="480" w:firstLineChars="200"/>
        <w:rPr>
          <w:rFonts w:eastAsiaTheme="minorEastAsia"/>
        </w:rPr>
      </w:pPr>
      <w:bookmarkStart w:id="600" w:name="_Toc267251418"/>
      <w:bookmarkStart w:id="601" w:name="_Toc32147"/>
      <w:r>
        <w:rPr>
          <w:rFonts w:eastAsiaTheme="minorEastAsia"/>
        </w:rPr>
        <w:t>5</w:t>
      </w:r>
      <w:bookmarkEnd w:id="600"/>
      <w:bookmarkStart w:id="602" w:name="_Toc296347162"/>
      <w:bookmarkStart w:id="603" w:name="_Toc296346664"/>
      <w:bookmarkStart w:id="604" w:name="_Toc292559367"/>
      <w:bookmarkStart w:id="605" w:name="_Toc292559872"/>
      <w:bookmarkStart w:id="606" w:name="_Toc296503163"/>
      <w:bookmarkStart w:id="607" w:name="_Toc297048349"/>
      <w:bookmarkStart w:id="608" w:name="_Toc297120463"/>
      <w:bookmarkStart w:id="609" w:name="_Toc296890991"/>
      <w:bookmarkStart w:id="610" w:name="_Toc296944502"/>
      <w:bookmarkStart w:id="611" w:name="_Toc296891203"/>
      <w:r>
        <w:rPr>
          <w:rFonts w:eastAsiaTheme="minorEastAsia"/>
        </w:rPr>
        <w:t>. 工程质量</w:t>
      </w:r>
      <w:bookmarkEnd w:id="601"/>
    </w:p>
    <w:p>
      <w:pPr>
        <w:pStyle w:val="5"/>
        <w:bidi w:val="0"/>
        <w:spacing w:line="480" w:lineRule="exact"/>
        <w:ind w:firstLine="480" w:firstLineChars="200"/>
        <w:rPr>
          <w:rFonts w:eastAsiaTheme="minorEastAsia"/>
        </w:rPr>
      </w:pPr>
      <w:bookmarkStart w:id="612" w:name="_Toc28229"/>
      <w:r>
        <w:rPr>
          <w:rFonts w:eastAsiaTheme="minorEastAsia"/>
        </w:rPr>
        <w:t>5.1 质量要求</w:t>
      </w:r>
      <w:bookmarkEnd w:id="612"/>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5</w:t>
      </w:r>
      <w:bookmarkStart w:id="613" w:name="_Toc318581164"/>
      <w:bookmarkStart w:id="614" w:name="_Toc303539106"/>
      <w:bookmarkStart w:id="615" w:name="_Toc297216155"/>
      <w:bookmarkStart w:id="616" w:name="_Toc304295527"/>
      <w:bookmarkStart w:id="617" w:name="_Toc297123496"/>
      <w:bookmarkStart w:id="618" w:name="_Toc300934949"/>
      <w:bookmarkStart w:id="619" w:name="_Toc312677997"/>
      <w:r>
        <w:rPr>
          <w:rFonts w:ascii="Times New Roman" w:hAnsi="Times New Roman" w:eastAsiaTheme="minorEastAsia"/>
          <w:sz w:val="24"/>
          <w:szCs w:val="32"/>
        </w:rPr>
        <w:t>.1.1 特殊质量标准和要求：</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u w:val="single"/>
        </w:rPr>
        <w:t xml:space="preserve">    </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sz w:val="24"/>
          <w:szCs w:val="32"/>
        </w:rPr>
        <w:t>关于工程奖项的约定：</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u w:val="single"/>
        </w:rPr>
        <w:t xml:space="preserve">     </w:t>
      </w:r>
      <w:r>
        <w:rPr>
          <w:rFonts w:ascii="Times New Roman" w:hAnsi="Times New Roman" w:eastAsiaTheme="minorEastAsia"/>
          <w:sz w:val="24"/>
          <w:szCs w:val="32"/>
        </w:rPr>
        <w:t>。</w:t>
      </w:r>
    </w:p>
    <w:p>
      <w:pPr>
        <w:pStyle w:val="5"/>
        <w:bidi w:val="0"/>
        <w:spacing w:line="480" w:lineRule="exact"/>
        <w:ind w:firstLine="480" w:firstLineChars="200"/>
        <w:rPr>
          <w:rFonts w:eastAsiaTheme="minorEastAsia"/>
        </w:rPr>
      </w:pPr>
      <w:bookmarkStart w:id="620" w:name="_Toc5868"/>
      <w:r>
        <w:rPr>
          <w:rFonts w:eastAsiaTheme="minorEastAsia"/>
        </w:rPr>
        <w:t>5.3 隐蔽工程检查</w:t>
      </w:r>
      <w:bookmarkEnd w:id="620"/>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5.3.2承包人提前通知监理人隐蔽工程检查的期限的约定：</w:t>
      </w:r>
      <w:r>
        <w:rPr>
          <w:rFonts w:hint="eastAsia" w:ascii="Times New Roman" w:hAnsi="Times New Roman" w:eastAsiaTheme="minorEastAsia"/>
          <w:sz w:val="24"/>
          <w:szCs w:val="32"/>
          <w:u w:val="single"/>
        </w:rPr>
        <w:t>24小时</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监理人不能按时进行检查时，应提前</w:t>
      </w:r>
      <w:r>
        <w:rPr>
          <w:rFonts w:hint="eastAsia" w:ascii="Times New Roman" w:hAnsi="Times New Roman" w:eastAsiaTheme="minorEastAsia"/>
          <w:sz w:val="24"/>
          <w:szCs w:val="32"/>
          <w:u w:val="single"/>
        </w:rPr>
        <w:t>24</w:t>
      </w:r>
      <w:r>
        <w:rPr>
          <w:rFonts w:ascii="Times New Roman" w:hAnsi="Times New Roman" w:eastAsiaTheme="minorEastAsia"/>
          <w:sz w:val="24"/>
          <w:szCs w:val="32"/>
        </w:rPr>
        <w:t>小时提交书面延期要求。</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关于延期最长不得超过：</w:t>
      </w:r>
      <w:r>
        <w:rPr>
          <w:rFonts w:hint="eastAsia" w:ascii="Times New Roman" w:hAnsi="Times New Roman" w:eastAsiaTheme="minorEastAsia"/>
          <w:sz w:val="24"/>
          <w:szCs w:val="32"/>
          <w:u w:val="single"/>
        </w:rPr>
        <w:t>48</w:t>
      </w:r>
      <w:r>
        <w:rPr>
          <w:rFonts w:ascii="Times New Roman" w:hAnsi="Times New Roman" w:eastAsiaTheme="minorEastAsia"/>
          <w:sz w:val="24"/>
          <w:szCs w:val="32"/>
        </w:rPr>
        <w:t>小时。</w:t>
      </w:r>
    </w:p>
    <w:p>
      <w:pPr>
        <w:pStyle w:val="4"/>
        <w:bidi w:val="0"/>
        <w:spacing w:line="480" w:lineRule="exact"/>
        <w:ind w:firstLine="480" w:firstLineChars="200"/>
        <w:rPr>
          <w:rFonts w:eastAsiaTheme="minorEastAsia"/>
        </w:rPr>
      </w:pPr>
      <w:bookmarkStart w:id="621" w:name="_Toc30772"/>
      <w:r>
        <w:rPr>
          <w:rFonts w:eastAsiaTheme="minorEastAsia"/>
        </w:rPr>
        <w:t>6. 安全文明施工与环境保护</w:t>
      </w:r>
      <w:bookmarkEnd w:id="621"/>
    </w:p>
    <w:p>
      <w:pPr>
        <w:pStyle w:val="5"/>
        <w:bidi w:val="0"/>
        <w:spacing w:line="480" w:lineRule="exact"/>
        <w:ind w:firstLine="480" w:firstLineChars="200"/>
        <w:rPr>
          <w:rFonts w:eastAsiaTheme="minorEastAsia"/>
        </w:rPr>
      </w:pPr>
      <w:bookmarkStart w:id="622" w:name="_Toc8279"/>
      <w:r>
        <w:rPr>
          <w:rFonts w:eastAsiaTheme="minorEastAsia"/>
        </w:rPr>
        <w:t>6.1安全文明施工</w:t>
      </w:r>
      <w:bookmarkEnd w:id="622"/>
    </w:p>
    <w:p>
      <w:pPr>
        <w:spacing w:line="480" w:lineRule="exact"/>
        <w:ind w:firstLine="480" w:firstLineChars="200"/>
        <w:rPr>
          <w:rFonts w:ascii="Times New Roman" w:hAnsi="Times New Roman" w:cs="宋体" w:eastAsiaTheme="minorEastAsia"/>
          <w:b w:val="0"/>
          <w:bCs w:val="0"/>
          <w:sz w:val="24"/>
          <w:szCs w:val="32"/>
          <w:u w:val="single"/>
        </w:rPr>
      </w:pPr>
      <w:r>
        <w:rPr>
          <w:rFonts w:ascii="Times New Roman" w:hAnsi="Times New Roman" w:eastAsiaTheme="minorEastAsia"/>
          <w:sz w:val="24"/>
          <w:szCs w:val="32"/>
        </w:rPr>
        <w:t>6.1.1</w:t>
      </w:r>
      <w:r>
        <w:rPr>
          <w:rFonts w:ascii="Times New Roman" w:hAnsi="Times New Roman" w:eastAsiaTheme="minorEastAsia"/>
          <w:color w:val="000000"/>
          <w:sz w:val="24"/>
          <w:szCs w:val="32"/>
        </w:rPr>
        <w:t xml:space="preserve"> </w:t>
      </w:r>
      <w:r>
        <w:rPr>
          <w:rFonts w:ascii="Times New Roman" w:hAnsi="Times New Roman" w:eastAsiaTheme="minorEastAsia"/>
          <w:color w:val="000000"/>
          <w:sz w:val="24"/>
          <w:szCs w:val="32"/>
          <w:u w:val="single"/>
        </w:rPr>
        <w:t>项目安全生产的达标目标及相应事项的约定：</w:t>
      </w:r>
      <w:r>
        <w:rPr>
          <w:rFonts w:hint="default" w:ascii="Times New Roman" w:hAnsi="Times New Roman" w:cs="宋体" w:eastAsiaTheme="minorEastAsia"/>
          <w:b w:val="0"/>
          <w:bCs w:val="0"/>
          <w:sz w:val="24"/>
          <w:szCs w:val="32"/>
          <w:u w:val="single"/>
        </w:rPr>
        <w:t xml:space="preserve">按有关规定和要求，由承包人做好安全文明施工。在工程施工期间所发生的任何工程质量事故和人身伤亡事故以及给第三方造成的人身和财产损失，由承包人承担全部责任。因此对建设单位造成经济损失的, 承包人应承担经济赔偿责任。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6.1.4 关于治安保卫的特别约定：</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w:t>
      </w:r>
      <w:r>
        <w:rPr>
          <w:rFonts w:ascii="Times New Roman" w:hAnsi="Times New Roman" w:eastAsiaTheme="minorEastAsia"/>
          <w:sz w:val="24"/>
          <w:szCs w:val="32"/>
          <w:u w:val="single"/>
        </w:rPr>
        <w:t xml:space="preserve">                  </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left="480" w:leftChars="200" w:firstLine="0" w:firstLineChars="0"/>
        <w:jc w:val="left"/>
        <w:rPr>
          <w:rFonts w:hint="eastAsia" w:ascii="Times New Roman" w:hAnsi="Times New Roman" w:eastAsiaTheme="minorEastAsia"/>
          <w:sz w:val="24"/>
          <w:szCs w:val="32"/>
        </w:rPr>
      </w:pPr>
      <w:r>
        <w:rPr>
          <w:rFonts w:ascii="Times New Roman" w:hAnsi="Times New Roman" w:eastAsiaTheme="minorEastAsia"/>
          <w:sz w:val="24"/>
          <w:szCs w:val="32"/>
        </w:rPr>
        <w:t>关于编制施工场地治安管理计划的约定：</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w:t>
      </w:r>
      <w:r>
        <w:rPr>
          <w:rFonts w:ascii="Times New Roman" w:hAnsi="Times New Roman" w:eastAsiaTheme="minorEastAsia"/>
          <w:sz w:val="24"/>
          <w:szCs w:val="32"/>
          <w:u w:val="single"/>
        </w:rPr>
        <w:t xml:space="preserve">           </w:t>
      </w:r>
      <w:r>
        <w:rPr>
          <w:rFonts w:ascii="Times New Roman" w:hAnsi="Times New Roman" w:eastAsiaTheme="minorEastAsia"/>
          <w:sz w:val="24"/>
          <w:szCs w:val="32"/>
          <w:u w:val="single"/>
        </w:rPr>
        <w:br w:type="textWrapping"/>
      </w:r>
      <w:r>
        <w:rPr>
          <w:rFonts w:hint="eastAsia" w:ascii="Times New Roman" w:hAnsi="Times New Roman" w:eastAsiaTheme="minorEastAsia"/>
          <w:sz w:val="24"/>
          <w:szCs w:val="32"/>
        </w:rPr>
        <w:t>6.1.5 文明施工</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hint="eastAsia" w:ascii="Times New Roman" w:hAnsi="Times New Roman" w:eastAsiaTheme="minorEastAsia"/>
          <w:sz w:val="24"/>
          <w:szCs w:val="32"/>
        </w:rPr>
        <w:t>合同当事人对文明施工的要求：①</w:t>
      </w:r>
      <w:r>
        <w:rPr>
          <w:rFonts w:hint="eastAsia" w:ascii="Times New Roman" w:hAnsi="Times New Roman" w:eastAsiaTheme="minorEastAsia"/>
          <w:sz w:val="24"/>
          <w:szCs w:val="32"/>
          <w:u w:val="single"/>
        </w:rPr>
        <w:t>符合项目属地政府颁发的关于建设工程施工现场管理办法的规定及其相关要求；②遵守政府有关主管部门对施工场地交通、施工噪音、场外污染、环境保护和安全生产等的管理规定，按规定办理有关手续，并以书面形式通知发包人；③承包人在施工期间负责弃土石场的选点及外运道路的清洁，并与施工项目所在地的交警、公安、环保、城管、路政、运管等所有相关部门进行协调，按规定办理有关手续、承担相应费用，并以书面形式通知发包人；如发包人进行办理、协调等工作，其相应费用由承包人承担。</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以上第①、②、③所需相关费用已包含在合同价款中，发包人不再另行支付（基准日后政策发生变化的除外）。因承包人未严格执行有关安全文明施工、环境卫生、噪音控制、城管、路政、运管等有关部门的规定，引起的处罚及扰民纠纷，承包人承担一切责任</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6.1.6 关于安全文明施工费支付比例和支付期限的约定：</w:t>
      </w:r>
      <w:r>
        <w:rPr>
          <w:rFonts w:hint="eastAsia" w:ascii="Times New Roman" w:hAnsi="Times New Roman" w:eastAsiaTheme="minorEastAsia"/>
          <w:sz w:val="24"/>
          <w:szCs w:val="32"/>
          <w:u w:val="single"/>
        </w:rPr>
        <w:t>发包人权依据承包人安全文明措施的落实情况分期支付</w:t>
      </w:r>
      <w:r>
        <w:rPr>
          <w:rFonts w:ascii="Times New Roman" w:hAnsi="Times New Roman" w:eastAsiaTheme="minorEastAsia"/>
          <w:sz w:val="24"/>
          <w:szCs w:val="32"/>
        </w:rPr>
        <w:t>。</w:t>
      </w:r>
    </w:p>
    <w:bookmarkEnd w:id="613"/>
    <w:bookmarkEnd w:id="614"/>
    <w:bookmarkEnd w:id="615"/>
    <w:bookmarkEnd w:id="616"/>
    <w:bookmarkEnd w:id="617"/>
    <w:bookmarkEnd w:id="618"/>
    <w:bookmarkEnd w:id="619"/>
    <w:p>
      <w:pPr>
        <w:pStyle w:val="4"/>
        <w:bidi w:val="0"/>
        <w:spacing w:line="480" w:lineRule="exact"/>
        <w:ind w:firstLine="480" w:firstLineChars="200"/>
        <w:rPr>
          <w:rFonts w:eastAsiaTheme="minorEastAsia"/>
        </w:rPr>
      </w:pPr>
      <w:bookmarkStart w:id="623" w:name="_Toc27366"/>
      <w:r>
        <w:rPr>
          <w:rFonts w:eastAsiaTheme="minorEastAsia"/>
        </w:rPr>
        <w:t>7. 工期和进度</w:t>
      </w:r>
      <w:bookmarkEnd w:id="623"/>
    </w:p>
    <w:p>
      <w:pPr>
        <w:pStyle w:val="5"/>
        <w:bidi w:val="0"/>
        <w:spacing w:line="480" w:lineRule="exact"/>
        <w:ind w:firstLine="480" w:firstLineChars="200"/>
        <w:rPr>
          <w:rFonts w:eastAsiaTheme="minorEastAsia"/>
        </w:rPr>
      </w:pPr>
      <w:bookmarkStart w:id="624" w:name="_Toc3455"/>
      <w:r>
        <w:rPr>
          <w:rFonts w:eastAsiaTheme="minorEastAsia"/>
        </w:rPr>
        <w:t>7.1 施工组织设计</w:t>
      </w:r>
      <w:bookmarkEnd w:id="624"/>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sz w:val="24"/>
          <w:szCs w:val="32"/>
        </w:rPr>
        <w:t>7.1.</w:t>
      </w:r>
      <w:r>
        <w:rPr>
          <w:rFonts w:hint="eastAsia" w:ascii="Times New Roman" w:hAnsi="Times New Roman" w:eastAsiaTheme="minorEastAsia"/>
          <w:sz w:val="24"/>
          <w:szCs w:val="32"/>
        </w:rPr>
        <w:t xml:space="preserve">1 </w:t>
      </w:r>
      <w:r>
        <w:rPr>
          <w:rFonts w:hint="eastAsia" w:ascii="Times New Roman" w:hAnsi="Times New Roman" w:eastAsiaTheme="minorEastAsia"/>
          <w:color w:val="000000"/>
          <w:sz w:val="24"/>
          <w:szCs w:val="32"/>
        </w:rPr>
        <w:t>合</w:t>
      </w:r>
      <w:r>
        <w:rPr>
          <w:rFonts w:hint="eastAsia" w:ascii="Times New Roman" w:hAnsi="Times New Roman" w:eastAsiaTheme="minorEastAsia"/>
          <w:color w:val="000000"/>
          <w:kern w:val="0"/>
          <w:sz w:val="24"/>
          <w:szCs w:val="32"/>
        </w:rPr>
        <w:t>同当事人约定的</w:t>
      </w:r>
      <w:r>
        <w:rPr>
          <w:rFonts w:ascii="Times New Roman" w:hAnsi="Times New Roman" w:eastAsiaTheme="minorEastAsia"/>
          <w:color w:val="000000"/>
          <w:kern w:val="0"/>
          <w:sz w:val="24"/>
          <w:szCs w:val="32"/>
        </w:rPr>
        <w:t>施工组织设计</w:t>
      </w:r>
      <w:r>
        <w:rPr>
          <w:rFonts w:hint="eastAsia" w:ascii="Times New Roman" w:hAnsi="Times New Roman" w:eastAsiaTheme="minorEastAsia"/>
          <w:color w:val="000000"/>
          <w:kern w:val="0"/>
          <w:sz w:val="24"/>
          <w:szCs w:val="32"/>
        </w:rPr>
        <w:t>应包括的其他内容</w:t>
      </w:r>
      <w:r>
        <w:rPr>
          <w:rFonts w:ascii="Times New Roman" w:hAnsi="Times New Roman" w:eastAsiaTheme="minorEastAsia"/>
          <w:color w:val="000000"/>
          <w:kern w:val="0"/>
          <w:sz w:val="24"/>
          <w:szCs w:val="32"/>
        </w:rPr>
        <w:t>：</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 xml:space="preserve">  /  </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rPr>
        <w:t>。</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sz w:val="24"/>
          <w:szCs w:val="32"/>
        </w:rPr>
        <w:t>7.1.2</w:t>
      </w:r>
      <w:r>
        <w:rPr>
          <w:rFonts w:ascii="Times New Roman" w:hAnsi="Times New Roman" w:eastAsiaTheme="minorEastAsia"/>
          <w:color w:val="000000"/>
          <w:sz w:val="24"/>
          <w:szCs w:val="32"/>
        </w:rPr>
        <w:t xml:space="preserve"> </w:t>
      </w:r>
      <w:r>
        <w:rPr>
          <w:rFonts w:ascii="Times New Roman" w:hAnsi="Times New Roman" w:eastAsiaTheme="minorEastAsia"/>
          <w:color w:val="000000"/>
          <w:kern w:val="0"/>
          <w:sz w:val="24"/>
          <w:szCs w:val="32"/>
        </w:rPr>
        <w:t>施工组织设计的提交和修改</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imes New Roman" w:hAnsi="Times New Roman" w:eastAsiaTheme="minorEastAsia"/>
          <w:sz w:val="24"/>
          <w:szCs w:val="32"/>
          <w:u w:val="single"/>
        </w:rPr>
      </w:pPr>
      <w:r>
        <w:rPr>
          <w:rFonts w:ascii="Times New Roman" w:hAnsi="Times New Roman" w:eastAsiaTheme="minorEastAsia"/>
          <w:color w:val="000000"/>
          <w:kern w:val="0"/>
          <w:sz w:val="24"/>
          <w:szCs w:val="32"/>
        </w:rPr>
        <w:t>承包人提交详细施工组织设计的期限的约定：</w:t>
      </w:r>
      <w:r>
        <w:rPr>
          <w:rFonts w:hint="eastAsia" w:ascii="Times New Roman" w:hAnsi="Times New Roman" w:eastAsiaTheme="minorEastAsia"/>
          <w:color w:val="000000"/>
          <w:kern w:val="0"/>
          <w:sz w:val="24"/>
          <w:szCs w:val="32"/>
        </w:rPr>
        <w:t>合同签订后【</w:t>
      </w:r>
      <w:r>
        <w:rPr>
          <w:rFonts w:hint="eastAsia" w:ascii="Times New Roman" w:hAnsi="Times New Roman" w:eastAsiaTheme="minorEastAsia"/>
          <w:color w:val="000000"/>
          <w:kern w:val="0"/>
          <w:sz w:val="24"/>
          <w:szCs w:val="32"/>
          <w:lang w:val="en-US" w:eastAsia="zh-CN"/>
        </w:rPr>
        <w:t>7</w:t>
      </w:r>
      <w:r>
        <w:rPr>
          <w:rFonts w:hint="eastAsia" w:ascii="Times New Roman" w:hAnsi="Times New Roman" w:eastAsiaTheme="minorEastAsia"/>
          <w:color w:val="000000"/>
          <w:kern w:val="0"/>
          <w:sz w:val="24"/>
          <w:szCs w:val="32"/>
        </w:rPr>
        <w:t>】天</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color w:val="000000"/>
          <w:sz w:val="24"/>
          <w:szCs w:val="32"/>
        </w:rPr>
        <w:t>发包人和监理人在收到</w:t>
      </w:r>
      <w:r>
        <w:rPr>
          <w:rFonts w:hint="eastAsia" w:ascii="Times New Roman" w:hAnsi="Times New Roman" w:eastAsiaTheme="minorEastAsia"/>
          <w:color w:val="000000"/>
          <w:sz w:val="24"/>
          <w:szCs w:val="32"/>
        </w:rPr>
        <w:t>详细的施工组织设计</w:t>
      </w:r>
      <w:r>
        <w:rPr>
          <w:rFonts w:ascii="Times New Roman" w:hAnsi="Times New Roman" w:eastAsiaTheme="minorEastAsia"/>
          <w:color w:val="000000"/>
          <w:sz w:val="24"/>
          <w:szCs w:val="32"/>
        </w:rPr>
        <w:t>后确认或提出修改意见的期限：</w:t>
      </w:r>
      <w:r>
        <w:rPr>
          <w:rFonts w:hint="eastAsia" w:ascii="Times New Roman" w:hAnsi="Times New Roman" w:eastAsiaTheme="minorEastAsia"/>
          <w:sz w:val="24"/>
          <w:szCs w:val="32"/>
          <w:u w:val="single"/>
        </w:rPr>
        <w:t>按专用合同条款第1.6.4条执行。发包人与监理人逾期既不确认，也不提出书面意见的视为同意，但如遇到重大或技术复杂、难度大的施工方案，应按政府有关规定召开专家评审会评审</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承包人提交的详细施工组织设计应为在投标时所编制的施工组织设计基础上进行的细化和完善，不涉及相关措施费用(此部分费用已包含在合同价中)的变更。发包人及监理单位对施工组织设计（或施工方案）和进度计划的确认，是对方案可行性的确认，不另行增加任何费用，并不解除因承包人提供的施工组织设计等文件本身缺陷应由承包人承担的相关责任。因施工条件因素导致施工措施的变化，须在施工前提供详细施工方案提交发包人确认，否则承包人自行承担由此发生的一切后果。</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因新增工程报送的施工组织设计、方案、施工工艺等须经监理、发包人对其可行性进行审批，若须发生费用，其费用须经发包人审批同意后方能实施，否则，发包人视为不发生费用，对事后就此提出的任何诉求，发包人将不予受理。原合同范围内应考虑而未报价的施工措施，视为费用已综合考虑在其他综合单价中，不再单独计取。</w:t>
      </w:r>
    </w:p>
    <w:p>
      <w:pPr>
        <w:pStyle w:val="5"/>
        <w:bidi w:val="0"/>
        <w:spacing w:line="480" w:lineRule="exact"/>
        <w:ind w:firstLine="480" w:firstLineChars="200"/>
        <w:rPr>
          <w:rFonts w:eastAsiaTheme="minorEastAsia"/>
        </w:rPr>
      </w:pPr>
      <w:bookmarkStart w:id="625" w:name="_Toc32086"/>
      <w:r>
        <w:rPr>
          <w:rFonts w:eastAsiaTheme="minorEastAsia"/>
        </w:rPr>
        <w:t>7</w:t>
      </w:r>
      <w:bookmarkStart w:id="626" w:name="_Toc300934966"/>
      <w:bookmarkStart w:id="627" w:name="_Toc303539123"/>
      <w:bookmarkStart w:id="628" w:name="_Toc304295541"/>
      <w:bookmarkStart w:id="629" w:name="_Toc297123514"/>
      <w:bookmarkStart w:id="630" w:name="_Toc297216173"/>
      <w:bookmarkStart w:id="631" w:name="_Toc312677479"/>
      <w:bookmarkStart w:id="632" w:name="_Toc312678005"/>
      <w:r>
        <w:rPr>
          <w:rFonts w:eastAsiaTheme="minorEastAsia"/>
        </w:rPr>
        <w:t>.2 施工进度计划</w:t>
      </w:r>
      <w:bookmarkEnd w:id="625"/>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7.2.2 施工进度计划的修订</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color w:val="000000"/>
          <w:sz w:val="24"/>
          <w:szCs w:val="32"/>
        </w:rPr>
        <w:t>发包人和监理人在收到修订的施工进度计划后确认或提出修改意见的期限：</w:t>
      </w:r>
      <w:r>
        <w:rPr>
          <w:rFonts w:hint="eastAsia" w:ascii="Times New Roman" w:hAnsi="Times New Roman" w:eastAsiaTheme="minorEastAsia"/>
          <w:sz w:val="24"/>
          <w:szCs w:val="32"/>
          <w:u w:val="single"/>
        </w:rPr>
        <w:t>【7】天</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hint="eastAsia" w:ascii="Times New Roman" w:hAnsi="Times New Roman" w:eastAsiaTheme="minorEastAsia"/>
          <w:sz w:val="24"/>
          <w:szCs w:val="32"/>
        </w:rPr>
        <w:t>7.2.3计划的执行</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  承包人应当加强计划管理，严格按照确认的工程进度计划组织施工，并接受发包人及监理单位对工程进度的检查、监督。</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（2）  为便于发包人和监理单位掌握和控制工期，承包人应于每月【</w:t>
      </w:r>
      <w:r>
        <w:rPr>
          <w:rFonts w:hint="eastAsia" w:ascii="Times New Roman" w:hAnsi="Times New Roman" w:eastAsiaTheme="minorEastAsia"/>
          <w:color w:val="000000"/>
          <w:sz w:val="24"/>
          <w:szCs w:val="32"/>
          <w:u w:val="single"/>
          <w:lang w:val="en-US" w:eastAsia="zh-CN"/>
        </w:rPr>
        <w:t>25</w:t>
      </w:r>
      <w:r>
        <w:rPr>
          <w:rFonts w:hint="eastAsia" w:ascii="Times New Roman" w:hAnsi="Times New Roman" w:eastAsiaTheme="minorEastAsia"/>
          <w:color w:val="000000"/>
          <w:sz w:val="24"/>
          <w:szCs w:val="32"/>
          <w:u w:val="single"/>
        </w:rPr>
        <w:t>】日前向监理单位提交当月工程进度计划完成情况（没完成计划的必须说明原因），并在此基础上更新下月度的工程进度计划、资金计划和其它工作计划。监理单位在接到报告后应当予以确认或提出书面意见，承包人必须按照监理单位的书面意见执行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（3）  发包人和监理单位认为工程进度滞后不能按预定工期完工，承包人必须采取必要的措施加快工程进度。属承包人原因造成的，则承包人无权要求发包人支付任何附加费用。如承包人未能在发包人或监理单位发布的加快施工进度指令后【</w:t>
      </w:r>
      <w:r>
        <w:rPr>
          <w:rFonts w:hint="eastAsia" w:ascii="Times New Roman" w:hAnsi="Times New Roman" w:eastAsiaTheme="minorEastAsia"/>
          <w:color w:val="000000"/>
          <w:sz w:val="24"/>
          <w:szCs w:val="32"/>
          <w:u w:val="single"/>
          <w:lang w:val="en-US" w:eastAsia="zh-CN"/>
        </w:rPr>
        <w:t>7</w:t>
      </w:r>
      <w:r>
        <w:rPr>
          <w:rFonts w:hint="eastAsia" w:ascii="Times New Roman" w:hAnsi="Times New Roman" w:eastAsiaTheme="minorEastAsia"/>
          <w:color w:val="000000"/>
          <w:sz w:val="24"/>
          <w:szCs w:val="32"/>
          <w:u w:val="single"/>
        </w:rPr>
        <w:t>】天内采取有效措施，或工程进度仍然无明显改进的，发包人有权将未完工程部分或全部委托其他施工单位施工，承包人必须无条件服从，由此所造成的费用损失全部由承包人承担，同时发包人保留解除合同的权利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（4）   承包人完全理解发包人的工程进度要求，对春节、传统节假日、农忙、气候、自然条件、市场材料供应等因素充分考虑，不得以上述因素减少现场施工人员数量或推迟施工进度，否则视为违约，发包人视情况处以违约金。</w:t>
      </w:r>
    </w:p>
    <w:p>
      <w:pPr>
        <w:pStyle w:val="5"/>
        <w:bidi w:val="0"/>
        <w:spacing w:line="480" w:lineRule="exact"/>
        <w:ind w:firstLine="480" w:firstLineChars="200"/>
        <w:rPr>
          <w:rFonts w:eastAsiaTheme="minorEastAsia"/>
        </w:rPr>
      </w:pPr>
      <w:bookmarkStart w:id="633" w:name="_Toc19356"/>
      <w:r>
        <w:rPr>
          <w:rFonts w:eastAsiaTheme="minorEastAsia"/>
        </w:rPr>
        <w:t>7.3 开工</w:t>
      </w:r>
      <w:bookmarkEnd w:id="633"/>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7.3.1 开工准备</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u w:val="single"/>
        </w:rPr>
      </w:pPr>
      <w:r>
        <w:rPr>
          <w:rFonts w:ascii="Times New Roman" w:hAnsi="Times New Roman" w:eastAsiaTheme="minorEastAsia"/>
          <w:color w:val="000000"/>
          <w:sz w:val="24"/>
          <w:szCs w:val="32"/>
        </w:rPr>
        <w:t>关于承包人提交</w:t>
      </w:r>
      <w:r>
        <w:rPr>
          <w:rFonts w:ascii="Times New Roman" w:hAnsi="Times New Roman" w:eastAsiaTheme="minorEastAsia"/>
          <w:color w:val="000000"/>
          <w:kern w:val="0"/>
          <w:sz w:val="24"/>
          <w:szCs w:val="32"/>
        </w:rPr>
        <w:t>工程开工报审表的期限：</w:t>
      </w:r>
      <w:r>
        <w:rPr>
          <w:rFonts w:hint="eastAsia" w:ascii="Times New Roman" w:hAnsi="Times New Roman" w:eastAsiaTheme="minorEastAsia"/>
          <w:sz w:val="24"/>
          <w:szCs w:val="32"/>
          <w:u w:val="single"/>
        </w:rPr>
        <w:t>接进场通知后【</w:t>
      </w:r>
      <w:r>
        <w:rPr>
          <w:rFonts w:hint="eastAsia" w:ascii="Times New Roman" w:hAnsi="Times New Roman" w:eastAsiaTheme="minorEastAsia"/>
          <w:sz w:val="24"/>
          <w:szCs w:val="32"/>
          <w:u w:val="single"/>
          <w:lang w:val="en-US" w:eastAsia="zh-CN"/>
        </w:rPr>
        <w:t>7</w:t>
      </w:r>
      <w:r>
        <w:rPr>
          <w:rFonts w:hint="eastAsia" w:ascii="Times New Roman" w:hAnsi="Times New Roman" w:eastAsiaTheme="minorEastAsia"/>
          <w:sz w:val="24"/>
          <w:szCs w:val="32"/>
          <w:u w:val="single"/>
        </w:rPr>
        <w:t>】天内</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关于发包人应完成的其他开工准备工作及期限：</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（1）进场后7天内提供工程地质资料与图纸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（2）进场后7天内现场交验水准点与坐标控制点，承包人必须按确定的水准点和坐标控制点进行施工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hint="eastAsia" w:ascii="Times New Roman" w:hAnsi="Times New Roman" w:eastAsiaTheme="minorEastAsia"/>
          <w:sz w:val="24"/>
          <w:szCs w:val="32"/>
          <w:u w:val="single"/>
        </w:rPr>
        <w:t>（3）提供图纸后14天内组织图纸会审和设计交底</w:t>
      </w:r>
      <w:r>
        <w:rPr>
          <w:rFonts w:hint="eastAsia"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（4）项目开工前，工程的各项审批手续应办理完毕。</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color w:val="000000"/>
          <w:sz w:val="24"/>
          <w:szCs w:val="32"/>
        </w:rPr>
        <w:t>关于承包人应完成的其他开工准备工作及期限：</w:t>
      </w:r>
      <w:r>
        <w:rPr>
          <w:rFonts w:hint="eastAsia" w:ascii="Times New Roman" w:hAnsi="Times New Roman" w:eastAsiaTheme="minorEastAsia"/>
          <w:sz w:val="24"/>
          <w:szCs w:val="32"/>
          <w:u w:val="single"/>
        </w:rPr>
        <w:t>项目开工前准备好开工所需的资料、工程设备，做好劳动力安排，完成由其修建的施工道路、临时设施等。因承包人未做好开工准备工作，导致工期延误的，由承包人承担由此增加的费用，且工期不予顺延。</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7.3.2开工通知</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因发包人原因造成监理人未能在计划开工日期之日起</w:t>
      </w:r>
      <w:r>
        <w:rPr>
          <w:rFonts w:hint="eastAsia"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7</w:t>
      </w:r>
      <w:r>
        <w:rPr>
          <w:rFonts w:hint="eastAsia" w:ascii="Times New Roman" w:hAnsi="Times New Roman" w:eastAsiaTheme="minorEastAsia"/>
          <w:sz w:val="24"/>
          <w:szCs w:val="32"/>
          <w:u w:val="single"/>
        </w:rPr>
        <w:t>】</w:t>
      </w:r>
      <w:r>
        <w:rPr>
          <w:rFonts w:ascii="Times New Roman" w:hAnsi="Times New Roman" w:eastAsiaTheme="minorEastAsia"/>
          <w:color w:val="000000"/>
          <w:sz w:val="24"/>
          <w:szCs w:val="32"/>
        </w:rPr>
        <w:t>天内发出开工通知的，承包人有权提出价格调整要求，或者解除合同。</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rPr>
        <w:t>7.3.3</w:t>
      </w:r>
      <w:r>
        <w:rPr>
          <w:rFonts w:hint="eastAsia" w:ascii="Times New Roman" w:hAnsi="Times New Roman" w:eastAsiaTheme="minorEastAsia"/>
          <w:color w:val="000000"/>
          <w:sz w:val="24"/>
          <w:szCs w:val="32"/>
          <w:u w:val="single"/>
        </w:rPr>
        <w:t>承包人必须按发包人进场通知的时间进入施工场地，做好施工准备工作，尽快开工。在工程已具备开工条件，但因承包人自身的原因（包括但不限于项目经理及现场管理机构其他人员尚未到位）而无法实际开工的，由此产生的工期延误等损失由承包人承担，并按照专用条款的有关约定处理。</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7.3.4</w:t>
      </w:r>
      <w:r>
        <w:rPr>
          <w:rFonts w:hint="eastAsia" w:ascii="Times New Roman" w:hAnsi="Times New Roman" w:eastAsiaTheme="minorEastAsia"/>
          <w:color w:val="000000"/>
          <w:sz w:val="24"/>
          <w:szCs w:val="32"/>
          <w:u w:val="single"/>
        </w:rPr>
        <w:t>承包人严格按其提交发包人审定的《施工组织设计》进行施工。保证不会因技术力量、施工机械投入等原因造成工程难以按期保质完成。如承包人进度无法满足本工程工期要求，应无偿增加机械设备、劳动力的投入，以确保工期按节点工期完成。</w:t>
      </w:r>
    </w:p>
    <w:bookmarkEnd w:id="626"/>
    <w:bookmarkEnd w:id="627"/>
    <w:bookmarkEnd w:id="628"/>
    <w:bookmarkEnd w:id="629"/>
    <w:bookmarkEnd w:id="630"/>
    <w:bookmarkEnd w:id="631"/>
    <w:bookmarkEnd w:id="632"/>
    <w:p>
      <w:pPr>
        <w:pStyle w:val="5"/>
        <w:bidi w:val="0"/>
        <w:spacing w:line="480" w:lineRule="exact"/>
        <w:ind w:firstLine="480" w:firstLineChars="200"/>
        <w:rPr>
          <w:rFonts w:eastAsiaTheme="minorEastAsia"/>
        </w:rPr>
      </w:pPr>
      <w:bookmarkStart w:id="634" w:name="_Toc22870"/>
      <w:r>
        <w:rPr>
          <w:rFonts w:eastAsiaTheme="minorEastAsia"/>
        </w:rPr>
        <w:t>7.4 测量放线</w:t>
      </w:r>
      <w:bookmarkEnd w:id="634"/>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ascii="Times New Roman" w:hAnsi="Times New Roman" w:eastAsiaTheme="minorEastAsia"/>
          <w:sz w:val="24"/>
          <w:szCs w:val="32"/>
        </w:rPr>
        <w:t>7.4.1发包人通过监理人向承包人提供测量基准点、基准线和水准点及其书面资料的期限：</w:t>
      </w:r>
      <w:r>
        <w:rPr>
          <w:rFonts w:hint="eastAsia" w:ascii="Times New Roman" w:hAnsi="Times New Roman" w:eastAsiaTheme="minorEastAsia"/>
          <w:sz w:val="24"/>
          <w:szCs w:val="32"/>
          <w:u w:val="single"/>
        </w:rPr>
        <w:t>最迟不得晚于开工通知载明的开工日期前【</w:t>
      </w:r>
      <w:r>
        <w:rPr>
          <w:rFonts w:hint="eastAsia" w:ascii="Times New Roman" w:hAnsi="Times New Roman" w:eastAsiaTheme="minorEastAsia"/>
          <w:sz w:val="24"/>
          <w:szCs w:val="32"/>
          <w:u w:val="single"/>
          <w:lang w:val="en-US" w:eastAsia="zh-CN"/>
        </w:rPr>
        <w:t>2</w:t>
      </w:r>
      <w:r>
        <w:rPr>
          <w:rFonts w:hint="eastAsia" w:ascii="Times New Roman" w:hAnsi="Times New Roman" w:eastAsiaTheme="minorEastAsia"/>
          <w:sz w:val="24"/>
          <w:szCs w:val="32"/>
          <w:u w:val="single"/>
        </w:rPr>
        <w:t>】天。承包人应负责保护水准点、坐标控制点，移交后由于破坏或失准带来的重新测量、放点费用以及由此造成的所有损失由承包人承担</w:t>
      </w:r>
      <w:r>
        <w:rPr>
          <w:rFonts w:ascii="Times New Roman" w:hAnsi="Times New Roman" w:eastAsiaTheme="minorEastAsia"/>
          <w:sz w:val="24"/>
          <w:szCs w:val="32"/>
        </w:rPr>
        <w:t>。</w:t>
      </w:r>
    </w:p>
    <w:p>
      <w:pPr>
        <w:pStyle w:val="5"/>
        <w:bidi w:val="0"/>
        <w:spacing w:line="480" w:lineRule="exact"/>
        <w:ind w:firstLine="480" w:firstLineChars="200"/>
        <w:rPr>
          <w:rFonts w:eastAsiaTheme="minorEastAsia"/>
        </w:rPr>
      </w:pPr>
      <w:bookmarkStart w:id="635" w:name="_Toc4274"/>
      <w:r>
        <w:rPr>
          <w:rFonts w:eastAsiaTheme="minorEastAsia"/>
        </w:rPr>
        <w:t>7</w:t>
      </w:r>
      <w:bookmarkStart w:id="636" w:name="_Toc300934968"/>
      <w:bookmarkStart w:id="637" w:name="_Toc312678010"/>
      <w:bookmarkStart w:id="638" w:name="_Toc304295546"/>
      <w:bookmarkStart w:id="639" w:name="_Toc297216175"/>
      <w:bookmarkStart w:id="640" w:name="_Toc312677484"/>
      <w:bookmarkStart w:id="641" w:name="_Toc297123516"/>
      <w:bookmarkStart w:id="642" w:name="_Toc303539125"/>
      <w:r>
        <w:rPr>
          <w:rFonts w:eastAsiaTheme="minorEastAsia"/>
        </w:rPr>
        <w:t>.5 工期延误</w:t>
      </w:r>
      <w:bookmarkEnd w:id="635"/>
    </w:p>
    <w:bookmarkEnd w:id="636"/>
    <w:bookmarkEnd w:id="637"/>
    <w:bookmarkEnd w:id="638"/>
    <w:bookmarkEnd w:id="639"/>
    <w:bookmarkEnd w:id="640"/>
    <w:bookmarkEnd w:id="641"/>
    <w:bookmarkEnd w:id="642"/>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7.5.1 因发包人原因导致工期延误</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u w:val="single"/>
        </w:rPr>
      </w:pPr>
      <w:r>
        <w:rPr>
          <w:rFonts w:ascii="Times New Roman" w:hAnsi="Times New Roman" w:eastAsiaTheme="minorEastAsia"/>
          <w:sz w:val="24"/>
          <w:szCs w:val="32"/>
        </w:rPr>
        <w:t>（7）因发包人原因导致工期延误的其他情形：</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w:t>
      </w:r>
      <w:r>
        <w:rPr>
          <w:rFonts w:ascii="Times New Roman" w:hAnsi="Times New Roman" w:eastAsiaTheme="minorEastAsia"/>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u w:val="single"/>
        </w:rPr>
        <w:t xml:space="preserve">      </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7</w:t>
      </w:r>
      <w:bookmarkStart w:id="643" w:name="_Toc312678012"/>
      <w:bookmarkStart w:id="644" w:name="_Toc312677486"/>
      <w:bookmarkStart w:id="645" w:name="_Toc318581169"/>
      <w:bookmarkStart w:id="646" w:name="_Toc297123518"/>
      <w:bookmarkStart w:id="647" w:name="_Toc303539127"/>
      <w:bookmarkStart w:id="648" w:name="_Toc297216177"/>
      <w:bookmarkStart w:id="649" w:name="_Toc304295548"/>
      <w:bookmarkStart w:id="650" w:name="_Toc300934970"/>
      <w:r>
        <w:rPr>
          <w:rFonts w:ascii="Times New Roman" w:hAnsi="Times New Roman" w:eastAsiaTheme="minorEastAsia"/>
          <w:sz w:val="24"/>
          <w:szCs w:val="32"/>
        </w:rPr>
        <w:t>.5.2 因承包人原因导致工期延误</w:t>
      </w:r>
    </w:p>
    <w:bookmarkEnd w:id="643"/>
    <w:bookmarkEnd w:id="644"/>
    <w:bookmarkEnd w:id="645"/>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ascii="Times New Roman" w:hAnsi="Times New Roman" w:eastAsiaTheme="minorEastAsia"/>
          <w:sz w:val="24"/>
          <w:szCs w:val="32"/>
        </w:rPr>
        <w:t>因</w:t>
      </w:r>
      <w:bookmarkStart w:id="651" w:name="_Toc312677487"/>
      <w:bookmarkStart w:id="652" w:name="_Toc312678013"/>
      <w:bookmarkStart w:id="653" w:name="_Toc318581170"/>
      <w:r>
        <w:rPr>
          <w:rFonts w:ascii="Times New Roman" w:hAnsi="Times New Roman" w:eastAsiaTheme="minorEastAsia"/>
          <w:sz w:val="24"/>
          <w:szCs w:val="32"/>
        </w:rPr>
        <w:t>承包人原因造成工期延误，逾期竣工违约金的计算方法为：</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u w:val="single"/>
        </w:rPr>
      </w:pPr>
      <w:r>
        <w:rPr>
          <w:rFonts w:hint="eastAsia" w:ascii="Times New Roman" w:hAnsi="Times New Roman" w:eastAsiaTheme="minorEastAsia"/>
          <w:sz w:val="24"/>
          <w:szCs w:val="32"/>
          <w:u w:val="single"/>
        </w:rPr>
        <w:t>每延误 1 日的误期赔偿金额为合同协议书的签约合同价的【</w:t>
      </w:r>
      <w:r>
        <w:rPr>
          <w:rFonts w:hint="eastAsia" w:ascii="Times New Roman" w:hAnsi="Times New Roman" w:eastAsiaTheme="minorEastAsia"/>
          <w:sz w:val="24"/>
          <w:szCs w:val="32"/>
          <w:u w:val="single"/>
          <w:lang w:val="en-US" w:eastAsia="zh-CN"/>
        </w:rPr>
        <w:t>0.5</w:t>
      </w:r>
      <w:r>
        <w:rPr>
          <w:rFonts w:hint="eastAsia" w:ascii="Times New Roman" w:hAnsi="Times New Roman" w:eastAsiaTheme="minorEastAsia"/>
          <w:sz w:val="24"/>
          <w:szCs w:val="32"/>
          <w:u w:val="single"/>
        </w:rPr>
        <w:t>】%。</w:t>
      </w:r>
      <w:r>
        <w:rPr>
          <w:rFonts w:ascii="Times New Roman" w:hAnsi="Times New Roman" w:eastAsiaTheme="minorEastAsia"/>
          <w:sz w:val="24"/>
          <w:szCs w:val="32"/>
        </w:rPr>
        <w:t>。</w:t>
      </w:r>
      <w:bookmarkEnd w:id="646"/>
      <w:bookmarkEnd w:id="647"/>
      <w:bookmarkEnd w:id="648"/>
      <w:bookmarkEnd w:id="649"/>
      <w:bookmarkEnd w:id="650"/>
      <w:bookmarkEnd w:id="651"/>
      <w:bookmarkEnd w:id="652"/>
    </w:p>
    <w:bookmarkEnd w:id="653"/>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因承包人原因造成工期延误，逾</w:t>
      </w:r>
      <w:bookmarkStart w:id="654" w:name="_Toc312678014"/>
      <w:bookmarkStart w:id="655" w:name="_Toc318581171"/>
      <w:r>
        <w:rPr>
          <w:rFonts w:ascii="Times New Roman" w:hAnsi="Times New Roman" w:eastAsiaTheme="minorEastAsia"/>
          <w:sz w:val="24"/>
          <w:szCs w:val="32"/>
        </w:rPr>
        <w:t>期竣工违约金的上限：</w:t>
      </w:r>
      <w:r>
        <w:rPr>
          <w:rFonts w:hint="eastAsia" w:ascii="Times New Roman" w:hAnsi="Times New Roman" w:eastAsiaTheme="minorEastAsia"/>
          <w:sz w:val="24"/>
          <w:szCs w:val="32"/>
          <w:u w:val="single"/>
        </w:rPr>
        <w:t>累计最高赔偿金额为合同协议书的签约合同价的【</w:t>
      </w:r>
      <w:r>
        <w:rPr>
          <w:rFonts w:hint="eastAsia" w:ascii="Times New Roman" w:hAnsi="Times New Roman" w:eastAsiaTheme="minorEastAsia"/>
          <w:sz w:val="24"/>
          <w:szCs w:val="32"/>
          <w:u w:val="single"/>
          <w:lang w:val="en-US" w:eastAsia="zh-CN"/>
        </w:rPr>
        <w:t>5</w:t>
      </w:r>
      <w:r>
        <w:rPr>
          <w:rFonts w:hint="eastAsia" w:ascii="Times New Roman" w:hAnsi="Times New Roman" w:eastAsiaTheme="minorEastAsia"/>
          <w:sz w:val="24"/>
          <w:szCs w:val="32"/>
          <w:u w:val="single"/>
        </w:rPr>
        <w:t>】%</w:t>
      </w:r>
      <w:r>
        <w:rPr>
          <w:rFonts w:ascii="Times New Roman" w:hAnsi="Times New Roman" w:eastAsiaTheme="minorEastAsia"/>
          <w:sz w:val="24"/>
          <w:szCs w:val="32"/>
        </w:rPr>
        <w:t>。</w:t>
      </w:r>
      <w:r>
        <w:rPr>
          <w:rFonts w:hint="eastAsia" w:ascii="Times New Roman" w:hAnsi="Times New Roman" w:eastAsiaTheme="minorEastAsia"/>
          <w:sz w:val="24"/>
          <w:szCs w:val="32"/>
        </w:rPr>
        <w:t>（相关法律规定）</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hint="eastAsia" w:ascii="Times New Roman" w:hAnsi="Times New Roman" w:eastAsiaTheme="minorEastAsia"/>
          <w:sz w:val="24"/>
          <w:szCs w:val="32"/>
        </w:rPr>
        <w:t>7.5.3非承包人原因导致工期延误</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（1）非承包人原因导致工期延误，指有确凿证据证实因下列原因而直接造成承包人的原定工期计划延误：</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①  不可抗力。</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②  工程设计有重大变更或重大失误，并经总监理工程师及发包人代表确认会造成工期延误的；重大设计变更导致工程在规划、使用、功能方面有重大调整。</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③  施工图纸供应时间影响工期进度，并经总监理工程师及发包人代表确认的。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④  发包人其他违约行为造成工期延误并经总监理工程师确认的。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⑥  合同中约定或者发包人代表同意给予顺延的其它情况；</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⑧  发包人对合同工程建设项目作出停建、缓建的决定；</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除上述原因之外，其他所有非发包人原因引起的工期延误均为承包人原因造成的延误，不可抗力原因导致的工期延长，只计算工期延误，不计算费用补偿。</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（2）非承包人原因导致工期延误，工期调整及费用计算方法：</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①  非承包人原因造成一级节点工期延误，一次性连续延误不满10天的，工期不予顺延，由承包人采取措施自行消化；一次性连续延误达到10天不满20天的，工期可顺延5天，承包人应采取措施在下一个节点工期内消化；一次性连续延误达到20天不满30天的，工期可顺延10天，但承包人必须在总工期内采取措施消化被延误工期（此延误发生在最后一个节点工期内除外）；一次性连续延误工期达到30天至60天的，工期可顺延20天；一次性连续延误工期达到60天至90天的，工期可顺延30天；一次性连续延误工期达到90天至120天的，工期可顺延45天；一次性连续延误工期达到120天至180天的，工期可顺延60天。</w:t>
      </w:r>
    </w:p>
    <w:bookmarkEnd w:id="654"/>
    <w:bookmarkEnd w:id="655"/>
    <w:p>
      <w:pPr>
        <w:pStyle w:val="5"/>
        <w:bidi w:val="0"/>
        <w:spacing w:line="480" w:lineRule="exact"/>
        <w:ind w:firstLine="480" w:firstLineChars="200"/>
        <w:rPr>
          <w:rFonts w:eastAsiaTheme="minorEastAsia"/>
        </w:rPr>
      </w:pPr>
      <w:bookmarkStart w:id="656" w:name="_Toc10866"/>
      <w:r>
        <w:rPr>
          <w:rFonts w:eastAsiaTheme="minorEastAsia"/>
        </w:rPr>
        <w:t>7</w:t>
      </w:r>
      <w:bookmarkStart w:id="657" w:name="_Toc304295549"/>
      <w:bookmarkStart w:id="658" w:name="_Toc297123519"/>
      <w:bookmarkStart w:id="659" w:name="_Toc312678015"/>
      <w:bookmarkStart w:id="660" w:name="_Toc300934971"/>
      <w:bookmarkStart w:id="661" w:name="_Toc297216178"/>
      <w:bookmarkStart w:id="662" w:name="_Toc303539128"/>
      <w:r>
        <w:rPr>
          <w:rFonts w:eastAsiaTheme="minorEastAsia"/>
        </w:rPr>
        <w:t>.6 不</w:t>
      </w:r>
      <w:bookmarkEnd w:id="657"/>
      <w:bookmarkEnd w:id="658"/>
      <w:bookmarkEnd w:id="659"/>
      <w:bookmarkEnd w:id="660"/>
      <w:bookmarkEnd w:id="661"/>
      <w:bookmarkEnd w:id="662"/>
      <w:r>
        <w:rPr>
          <w:rFonts w:eastAsiaTheme="minorEastAsia"/>
        </w:rPr>
        <w:t>利物质条件</w:t>
      </w:r>
      <w:bookmarkEnd w:id="656"/>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bookmarkStart w:id="663" w:name="_Toc312678016"/>
      <w:bookmarkStart w:id="664" w:name="_Toc304295550"/>
      <w:bookmarkStart w:id="665" w:name="_Toc297216179"/>
      <w:bookmarkStart w:id="666" w:name="_Toc300934972"/>
      <w:bookmarkStart w:id="667" w:name="_Toc297123520"/>
      <w:bookmarkStart w:id="668" w:name="_Toc318581172"/>
      <w:bookmarkStart w:id="669" w:name="_Toc303539129"/>
      <w:r>
        <w:rPr>
          <w:rFonts w:ascii="Times New Roman" w:hAnsi="Times New Roman" w:eastAsiaTheme="minorEastAsia"/>
          <w:sz w:val="24"/>
          <w:szCs w:val="32"/>
        </w:rPr>
        <w:t>不利物质条件的其他情形和有关约定：</w:t>
      </w:r>
      <w:r>
        <w:rPr>
          <w:rFonts w:hint="eastAsia"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w:t>
      </w:r>
      <w:r>
        <w:rPr>
          <w:rFonts w:hint="eastAsia" w:ascii="Times New Roman" w:hAnsi="Times New Roman" w:eastAsiaTheme="minorEastAsia"/>
          <w:sz w:val="24"/>
          <w:szCs w:val="32"/>
          <w:u w:val="single"/>
        </w:rPr>
        <w:t xml:space="preserve">       </w:t>
      </w:r>
      <w:r>
        <w:rPr>
          <w:rFonts w:ascii="Times New Roman" w:hAnsi="Times New Roman" w:eastAsiaTheme="minorEastAsia"/>
          <w:sz w:val="24"/>
          <w:szCs w:val="32"/>
        </w:rPr>
        <w:t>。</w:t>
      </w:r>
    </w:p>
    <w:bookmarkEnd w:id="663"/>
    <w:bookmarkEnd w:id="664"/>
    <w:bookmarkEnd w:id="665"/>
    <w:bookmarkEnd w:id="666"/>
    <w:bookmarkEnd w:id="667"/>
    <w:bookmarkEnd w:id="668"/>
    <w:bookmarkEnd w:id="669"/>
    <w:p>
      <w:pPr>
        <w:pStyle w:val="5"/>
        <w:bidi w:val="0"/>
        <w:spacing w:line="480" w:lineRule="exact"/>
        <w:ind w:firstLine="480" w:firstLineChars="200"/>
        <w:rPr>
          <w:rFonts w:eastAsiaTheme="minorEastAsia"/>
        </w:rPr>
      </w:pPr>
      <w:bookmarkStart w:id="670" w:name="_Toc14696"/>
      <w:r>
        <w:rPr>
          <w:rFonts w:eastAsiaTheme="minorEastAsia"/>
        </w:rPr>
        <w:t>7</w:t>
      </w:r>
      <w:bookmarkStart w:id="671" w:name="_Toc303539130"/>
      <w:bookmarkStart w:id="672" w:name="_Toc300934973"/>
      <w:bookmarkStart w:id="673" w:name="_Toc304295551"/>
      <w:bookmarkStart w:id="674" w:name="_Toc297123521"/>
      <w:bookmarkStart w:id="675" w:name="_Toc312678017"/>
      <w:bookmarkStart w:id="676" w:name="_Toc297216180"/>
      <w:r>
        <w:rPr>
          <w:rFonts w:eastAsiaTheme="minorEastAsia"/>
        </w:rPr>
        <w:t>.7异常恶劣的气候条件</w:t>
      </w:r>
      <w:bookmarkEnd w:id="670"/>
    </w:p>
    <w:bookmarkEnd w:id="671"/>
    <w:bookmarkEnd w:id="672"/>
    <w:bookmarkEnd w:id="673"/>
    <w:bookmarkEnd w:id="674"/>
    <w:bookmarkEnd w:id="675"/>
    <w:bookmarkEnd w:id="676"/>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发包人和承包人同意以下情形视为异常恶劣的气候条件：</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（1）</w:t>
      </w:r>
      <w:r>
        <w:rPr>
          <w:rFonts w:hint="eastAsia" w:ascii="Times New Roman" w:hAnsi="Times New Roman" w:eastAsiaTheme="minorEastAsia"/>
          <w:sz w:val="24"/>
          <w:szCs w:val="32"/>
          <w:u w:val="single"/>
        </w:rPr>
        <w:t>日降雨量大于100mm的雨日连续超过3天</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（2）</w:t>
      </w:r>
      <w:r>
        <w:rPr>
          <w:rFonts w:hint="eastAsia" w:ascii="Times New Roman" w:hAnsi="Times New Roman" w:eastAsiaTheme="minorEastAsia"/>
          <w:sz w:val="24"/>
          <w:szCs w:val="32"/>
          <w:u w:val="single"/>
        </w:rPr>
        <w:t>风速大于32.7m/s 的12级以上台风灾害</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（3）</w:t>
      </w:r>
      <w:r>
        <w:rPr>
          <w:rFonts w:hint="eastAsia" w:ascii="Times New Roman" w:hAnsi="Times New Roman" w:eastAsiaTheme="minorEastAsia"/>
          <w:sz w:val="24"/>
          <w:szCs w:val="32"/>
          <w:u w:val="single"/>
        </w:rPr>
        <w:t>日气温超过40°C的高温连续大于3天</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hint="eastAsia" w:ascii="Times New Roman" w:hAnsi="Times New Roman" w:eastAsiaTheme="minorEastAsia"/>
          <w:sz w:val="24"/>
          <w:szCs w:val="32"/>
        </w:rPr>
        <w:t>以上以当地气象部门公布的项目所在地的气象资料为准。</w:t>
      </w:r>
    </w:p>
    <w:p>
      <w:pPr>
        <w:pStyle w:val="5"/>
        <w:bidi w:val="0"/>
        <w:spacing w:line="480" w:lineRule="exact"/>
        <w:ind w:firstLine="480" w:firstLineChars="200"/>
        <w:rPr>
          <w:rFonts w:eastAsiaTheme="minorEastAsia"/>
        </w:rPr>
      </w:pPr>
      <w:bookmarkStart w:id="677" w:name="_Toc25811"/>
      <w:r>
        <w:rPr>
          <w:rFonts w:hint="eastAsia" w:eastAsiaTheme="minorEastAsia"/>
        </w:rPr>
        <w:t>7.8暂停施工</w:t>
      </w:r>
      <w:bookmarkEnd w:id="677"/>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u w:val="single"/>
        </w:rPr>
      </w:pPr>
      <w:r>
        <w:rPr>
          <w:rFonts w:hint="eastAsia" w:ascii="Times New Roman" w:hAnsi="Times New Roman" w:eastAsiaTheme="minorEastAsia"/>
          <w:sz w:val="24"/>
          <w:szCs w:val="32"/>
        </w:rPr>
        <w:t>7.8.2承包人原因引起的暂停施工：</w:t>
      </w:r>
      <w:r>
        <w:rPr>
          <w:rFonts w:hint="eastAsia" w:ascii="Times New Roman" w:hAnsi="Times New Roman" w:eastAsiaTheme="minorEastAsia"/>
          <w:sz w:val="24"/>
          <w:szCs w:val="32"/>
          <w:u w:val="single"/>
        </w:rPr>
        <w:t>承包人不得以与发包人有争议或争议未解决为由而单方面停工，否则，按照《专用合同条款》第7.5.2条的约定承担工期违约责任。</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hint="eastAsia" w:ascii="Times New Roman" w:hAnsi="Times New Roman" w:eastAsiaTheme="minorEastAsia"/>
          <w:sz w:val="24"/>
          <w:szCs w:val="32"/>
        </w:rPr>
        <w:t>7.8.3指示暂停施工</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（1）因下列原因，总监理工程师报经发包人同意，可通知承包人暂停施工：</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①  不可抗力；</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②  设计变更导致工程关键路线工作连续停工【 15 】天以上；</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③  质量事故；</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④  安全生产事故；</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⑤　经监理人确认的安全文明、质量等问题。</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因发生上述第（1）、（2）项原因而暂停施工，工期调整适用合同第7.5.3条的有关约定，延迟天数由双方协调商定；因承包人原因造成发生上述第（3）、（4）、（5）项而暂停施工，工期不予顺延，承包人必须承担由此发生的费用，并按照《专用合同条款》第7.5.2条的约定向发包人承担违约责任。</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（2）   为了保证工程质量安全，凡出现下列情况（包括但不限于）之一的，总监理工程师有权下达停工令，责令承包人停工整改，由此造成的损失由承包人自行负责，造成工期延误的由承包人按《专用合同条款》第7.5.2条的有关约定承担违约责任：</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①  无正当理由拒绝监理单位管理、发包人代表的督导、管理；</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②  施工组织设计（方案）未获总监理工程师批准而进行施工，或不按施工组织设计（方案）进行施工；</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③  未按规定由监理单位检验认可而擅自进行下一道工序作业；</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④  擅自采用未经监理单位及发包人认可或批准的材料，或者使用的原材料、构配件不合格或未经检查确认；</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⑤  擅自变更设计图纸的要求；</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⑥  转包工程；</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 xml:space="preserve">⑦  未按约定擅自让未经发包人批准的分包单位进场作业；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⑧  安全文明施工不符合要求、存在安全隐患，未按监理单位要求及时进行整改或整改后仍不符合要求；</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⑨  未按双方约定的要求上报所需的资料；</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⑩  除上述情况外，监理单位认为应该暂停施工且经发包人批准的其它情况。</w:t>
      </w:r>
    </w:p>
    <w:p>
      <w:pPr>
        <w:pStyle w:val="5"/>
        <w:bidi w:val="0"/>
        <w:spacing w:line="480" w:lineRule="exact"/>
        <w:ind w:firstLine="480" w:firstLineChars="200"/>
        <w:rPr>
          <w:rFonts w:eastAsiaTheme="minorEastAsia"/>
        </w:rPr>
      </w:pPr>
      <w:bookmarkStart w:id="678" w:name="_Toc21211"/>
      <w:r>
        <w:rPr>
          <w:rFonts w:eastAsiaTheme="minorEastAsia"/>
        </w:rPr>
        <w:t>7.9 提前竣工的奖励</w:t>
      </w:r>
      <w:bookmarkEnd w:id="678"/>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ascii="Times New Roman" w:hAnsi="Times New Roman" w:eastAsiaTheme="minorEastAsia"/>
          <w:sz w:val="24"/>
          <w:szCs w:val="32"/>
        </w:rPr>
        <w:t>7.9.2提前竣工的奖励</w:t>
      </w:r>
      <w:r>
        <w:rPr>
          <w:rFonts w:ascii="Times New Roman" w:hAnsi="Times New Roman" w:eastAsiaTheme="minorEastAsia"/>
          <w:sz w:val="24"/>
          <w:szCs w:val="32"/>
          <w:u w:val="single"/>
        </w:rPr>
        <w:t>：</w:t>
      </w:r>
      <w:r>
        <w:rPr>
          <w:rFonts w:hint="eastAsia" w:ascii="Times New Roman" w:hAnsi="Times New Roman" w:eastAsiaTheme="minorEastAsia"/>
          <w:sz w:val="24"/>
          <w:szCs w:val="32"/>
          <w:u w:val="single"/>
          <w:lang w:val="en-US" w:eastAsia="zh-CN"/>
        </w:rPr>
        <w:t>/</w:t>
      </w:r>
      <w:r>
        <w:rPr>
          <w:rFonts w:hint="eastAsia" w:ascii="Times New Roman" w:hAnsi="Times New Roman" w:eastAsiaTheme="minorEastAsia"/>
          <w:sz w:val="24"/>
          <w:szCs w:val="32"/>
          <w:u w:val="single"/>
        </w:rPr>
        <w:t>元</w:t>
      </w:r>
      <w:r>
        <w:rPr>
          <w:rFonts w:ascii="Times New Roman" w:hAnsi="Times New Roman" w:eastAsiaTheme="minorEastAsia"/>
          <w:sz w:val="24"/>
          <w:szCs w:val="32"/>
        </w:rPr>
        <w:t>。</w:t>
      </w:r>
    </w:p>
    <w:p>
      <w:pPr>
        <w:pStyle w:val="4"/>
        <w:bidi w:val="0"/>
        <w:spacing w:line="480" w:lineRule="exact"/>
        <w:ind w:firstLine="480" w:firstLineChars="200"/>
        <w:rPr>
          <w:rFonts w:eastAsiaTheme="minorEastAsia"/>
        </w:rPr>
      </w:pPr>
      <w:bookmarkStart w:id="679" w:name="_Toc3156"/>
      <w:r>
        <w:rPr>
          <w:rFonts w:eastAsiaTheme="minorEastAsia"/>
        </w:rPr>
        <w:t>8. 材料与设备</w:t>
      </w:r>
      <w:bookmarkEnd w:id="679"/>
    </w:p>
    <w:bookmarkEnd w:id="602"/>
    <w:bookmarkEnd w:id="603"/>
    <w:bookmarkEnd w:id="604"/>
    <w:bookmarkEnd w:id="605"/>
    <w:bookmarkEnd w:id="606"/>
    <w:bookmarkEnd w:id="607"/>
    <w:bookmarkEnd w:id="608"/>
    <w:bookmarkEnd w:id="609"/>
    <w:bookmarkEnd w:id="610"/>
    <w:bookmarkEnd w:id="611"/>
    <w:p>
      <w:pPr>
        <w:pStyle w:val="5"/>
        <w:bidi w:val="0"/>
        <w:spacing w:line="480" w:lineRule="exact"/>
        <w:ind w:firstLine="480" w:firstLineChars="200"/>
        <w:rPr>
          <w:rFonts w:eastAsiaTheme="minorEastAsia"/>
        </w:rPr>
      </w:pPr>
      <w:bookmarkStart w:id="680" w:name="_Toc6119"/>
      <w:r>
        <w:rPr>
          <w:rFonts w:eastAsiaTheme="minorEastAsia"/>
        </w:rPr>
        <w:t>8</w:t>
      </w:r>
      <w:bookmarkStart w:id="681" w:name="_Toc296891207"/>
      <w:bookmarkStart w:id="682" w:name="_Toc300934979"/>
      <w:bookmarkStart w:id="683" w:name="_Toc297048353"/>
      <w:bookmarkStart w:id="684" w:name="_Toc296890995"/>
      <w:bookmarkStart w:id="685" w:name="_Toc292559372"/>
      <w:bookmarkStart w:id="686" w:name="_Toc292559877"/>
      <w:bookmarkStart w:id="687" w:name="_Toc296503167"/>
      <w:bookmarkStart w:id="688" w:name="_Toc297123527"/>
      <w:bookmarkStart w:id="689" w:name="_Toc296347166"/>
      <w:bookmarkStart w:id="690" w:name="_Toc297216186"/>
      <w:bookmarkStart w:id="691" w:name="_Toc280868654"/>
      <w:bookmarkStart w:id="692" w:name="_Toc296944506"/>
      <w:bookmarkStart w:id="693" w:name="_Toc296346668"/>
      <w:bookmarkStart w:id="694" w:name="_Toc303539136"/>
      <w:bookmarkStart w:id="695" w:name="_Toc312677493"/>
      <w:bookmarkStart w:id="696" w:name="_Toc304295556"/>
      <w:bookmarkStart w:id="697" w:name="_Toc312678019"/>
      <w:bookmarkStart w:id="698" w:name="_Toc297120467"/>
      <w:bookmarkStart w:id="699" w:name="_Toc280868656"/>
      <w:bookmarkStart w:id="700" w:name="_Toc267251424"/>
      <w:bookmarkStart w:id="701" w:name="_Toc280868655"/>
      <w:r>
        <w:rPr>
          <w:rFonts w:eastAsiaTheme="minorEastAsia"/>
        </w:rPr>
        <w:t>.4材料与工程设备的保管与使用</w:t>
      </w:r>
      <w:bookmarkEnd w:id="680"/>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8</w:t>
      </w:r>
      <w:bookmarkStart w:id="702" w:name="_Toc292559373"/>
      <w:bookmarkStart w:id="703" w:name="_Toc292559878"/>
      <w:bookmarkStart w:id="704" w:name="_Toc296890996"/>
      <w:bookmarkStart w:id="705" w:name="_Toc296347167"/>
      <w:bookmarkStart w:id="706" w:name="_Toc297216187"/>
      <w:bookmarkStart w:id="707" w:name="_Toc318581173"/>
      <w:bookmarkStart w:id="708" w:name="_Toc296346669"/>
      <w:bookmarkStart w:id="709" w:name="_Toc297120468"/>
      <w:bookmarkStart w:id="710" w:name="_Toc312677494"/>
      <w:bookmarkStart w:id="711" w:name="_Toc296503168"/>
      <w:bookmarkStart w:id="712" w:name="_Toc304295557"/>
      <w:bookmarkStart w:id="713" w:name="_Toc303539137"/>
      <w:bookmarkStart w:id="714" w:name="_Toc296891208"/>
      <w:bookmarkStart w:id="715" w:name="_Toc297048354"/>
      <w:bookmarkStart w:id="716" w:name="_Toc300934980"/>
      <w:bookmarkStart w:id="717" w:name="_Toc297123528"/>
      <w:bookmarkStart w:id="718" w:name="_Toc296944507"/>
      <w:bookmarkStart w:id="719" w:name="_Toc312678020"/>
      <w:r>
        <w:rPr>
          <w:rFonts w:ascii="Times New Roman" w:hAnsi="Times New Roman" w:eastAsiaTheme="minorEastAsia"/>
          <w:sz w:val="24"/>
          <w:szCs w:val="32"/>
        </w:rPr>
        <w:t>.4.1发包人供应的材料设备的保管费用的承担：</w:t>
      </w:r>
      <w:r>
        <w:rPr>
          <w:rFonts w:hint="eastAsia" w:ascii="Times New Roman" w:hAnsi="Times New Roman" w:eastAsiaTheme="minorEastAsia"/>
          <w:sz w:val="24"/>
          <w:szCs w:val="32"/>
          <w:u w:val="single"/>
        </w:rPr>
        <w:t>由承包人承担，费用已包含在总承包管理费用中</w:t>
      </w:r>
      <w:r>
        <w:rPr>
          <w:rFonts w:ascii="Times New Roman" w:hAnsi="Times New Roman" w:eastAsiaTheme="minorEastAsia"/>
          <w:sz w:val="24"/>
          <w:szCs w:val="32"/>
        </w:rPr>
        <w:t>。</w:t>
      </w:r>
      <w:bookmarkEnd w:id="702"/>
      <w:bookmarkEnd w:id="703"/>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hint="eastAsia" w:ascii="Times New Roman" w:hAnsi="Times New Roman" w:eastAsiaTheme="minorEastAsia"/>
          <w:sz w:val="24"/>
          <w:szCs w:val="32"/>
        </w:rPr>
        <w:t>（1）在合同实施过程中，发包人有权调整供货范围，承包人应无条件接受并不得向发包人索赔任何费用。施工过程中，材料、工程设备的品种、规格、型号、数量、质量等级和送达地点及到货时间由承包人根据施工图纸(收到全部施工图30天内)确定并填写完整，盖章后提交给发包人，发包人将按批准后的计划向承包人供应材料设备；</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hint="eastAsia" w:ascii="Times New Roman" w:hAnsi="Times New Roman" w:eastAsiaTheme="minorEastAsia"/>
          <w:sz w:val="24"/>
          <w:szCs w:val="32"/>
        </w:rPr>
        <w:t>（2）承包人应接收发包人供货到现场的材料设备并承担照管责任。承包人按工程管理规范验收，若验收不合格通知发包人退货。若验收合格，后期的施工质量与材料设备供货无关。承包人应在发包人通知的时间内到送达地点清点、检验与接收，否则，即认为承包人违约，每延误一天支付违约金【</w:t>
      </w:r>
      <w:r>
        <w:rPr>
          <w:rFonts w:hint="eastAsia" w:ascii="Times New Roman" w:hAnsi="Times New Roman" w:eastAsiaTheme="minorEastAsia"/>
          <w:sz w:val="24"/>
          <w:szCs w:val="32"/>
          <w:lang w:val="en-US" w:eastAsia="zh-CN"/>
        </w:rPr>
        <w:t>1000</w:t>
      </w:r>
      <w:r>
        <w:rPr>
          <w:rFonts w:hint="eastAsia" w:ascii="Times New Roman" w:hAnsi="Times New Roman" w:eastAsiaTheme="minorEastAsia"/>
          <w:sz w:val="24"/>
          <w:szCs w:val="32"/>
        </w:rPr>
        <w:t>】元；</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hint="eastAsia" w:ascii="Times New Roman" w:hAnsi="Times New Roman" w:eastAsiaTheme="minorEastAsia"/>
          <w:sz w:val="24"/>
          <w:szCs w:val="32"/>
        </w:rPr>
        <w:t>（3）承包人对检验方式应提前说明，不能因检验需要延误货物的接收，否则，即认为承包人违约，每延误一天支付违约金【</w:t>
      </w:r>
      <w:r>
        <w:rPr>
          <w:rFonts w:hint="eastAsia" w:ascii="Times New Roman" w:hAnsi="Times New Roman" w:eastAsiaTheme="minorEastAsia"/>
          <w:sz w:val="24"/>
          <w:szCs w:val="32"/>
          <w:lang w:val="en-US" w:eastAsia="zh-CN"/>
        </w:rPr>
        <w:t>1000</w:t>
      </w:r>
      <w:r>
        <w:rPr>
          <w:rFonts w:hint="eastAsia" w:ascii="Times New Roman" w:hAnsi="Times New Roman" w:eastAsiaTheme="minorEastAsia"/>
          <w:sz w:val="24"/>
          <w:szCs w:val="32"/>
        </w:rPr>
        <w:t>】元；</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hint="eastAsia" w:ascii="Times New Roman" w:hAnsi="Times New Roman" w:eastAsiaTheme="minorEastAsia"/>
          <w:sz w:val="24"/>
          <w:szCs w:val="32"/>
        </w:rPr>
        <w:t>（4）承包人须严格执行本合同约定，严格按约定的质量标准及工程量统一协调供方的管理</w:t>
      </w:r>
      <w:r>
        <w:rPr>
          <w:rFonts w:hint="eastAsia" w:ascii="Times New Roman" w:hAnsi="Times New Roman" w:eastAsiaTheme="minorEastAsia"/>
          <w:sz w:val="24"/>
          <w:szCs w:val="32"/>
          <w:lang w:eastAsia="zh-CN"/>
        </w:rPr>
        <w:t>。</w:t>
      </w:r>
    </w:p>
    <w:p>
      <w:pPr>
        <w:pStyle w:val="5"/>
        <w:bidi w:val="0"/>
        <w:spacing w:line="480" w:lineRule="exact"/>
        <w:ind w:firstLine="480" w:firstLineChars="200"/>
        <w:rPr>
          <w:rFonts w:eastAsiaTheme="minorEastAsia"/>
        </w:rPr>
      </w:pPr>
      <w:bookmarkStart w:id="720" w:name="_Toc17704"/>
      <w:r>
        <w:rPr>
          <w:rFonts w:eastAsiaTheme="minorEastAsia"/>
        </w:rPr>
        <w:t>8.6 样品</w:t>
      </w:r>
      <w:bookmarkEnd w:id="720"/>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8.6.1</w:t>
      </w:r>
      <w:r>
        <w:rPr>
          <w:rFonts w:ascii="Times New Roman" w:hAnsi="Times New Roman" w:eastAsiaTheme="minorEastAsia"/>
          <w:color w:val="000000"/>
          <w:kern w:val="0"/>
          <w:sz w:val="24"/>
          <w:szCs w:val="32"/>
        </w:rPr>
        <w:tab/>
      </w:r>
      <w:r>
        <w:rPr>
          <w:rFonts w:ascii="Times New Roman" w:hAnsi="Times New Roman" w:eastAsiaTheme="minorEastAsia"/>
          <w:color w:val="000000"/>
          <w:kern w:val="0"/>
          <w:sz w:val="24"/>
          <w:szCs w:val="32"/>
        </w:rPr>
        <w:t>样品的报送</w:t>
      </w:r>
      <w:r>
        <w:rPr>
          <w:rFonts w:hint="eastAsia" w:ascii="Times New Roman" w:hAnsi="Times New Roman" w:eastAsiaTheme="minorEastAsia"/>
          <w:color w:val="000000"/>
          <w:kern w:val="0"/>
          <w:sz w:val="24"/>
          <w:szCs w:val="32"/>
        </w:rPr>
        <w:t>与封存</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color w:val="000000"/>
          <w:kern w:val="0"/>
          <w:sz w:val="24"/>
          <w:szCs w:val="32"/>
        </w:rPr>
        <w:t>需要承包人报送样品的材料或工程设备，样品的种类、名称、规格、数量要求：</w:t>
      </w:r>
      <w:r>
        <w:rPr>
          <w:rFonts w:hint="eastAsia" w:ascii="Times New Roman" w:hAnsi="Times New Roman" w:eastAsiaTheme="minorEastAsia"/>
          <w:sz w:val="24"/>
          <w:szCs w:val="32"/>
          <w:u w:val="single"/>
        </w:rPr>
        <w:t>按施工过程中发包人或监理人书面通知要求进行</w:t>
      </w:r>
      <w:r>
        <w:rPr>
          <w:rFonts w:ascii="Times New Roman" w:hAnsi="Times New Roman" w:eastAsiaTheme="minorEastAsia"/>
          <w:sz w:val="24"/>
          <w:szCs w:val="32"/>
        </w:rPr>
        <w:t>。</w:t>
      </w:r>
    </w:p>
    <w:p>
      <w:pPr>
        <w:pStyle w:val="5"/>
        <w:bidi w:val="0"/>
        <w:spacing w:line="480" w:lineRule="exact"/>
        <w:ind w:firstLine="480" w:firstLineChars="200"/>
        <w:rPr>
          <w:rFonts w:eastAsiaTheme="minorEastAsia"/>
        </w:rPr>
      </w:pPr>
      <w:bookmarkStart w:id="721" w:name="_Toc9642"/>
      <w:r>
        <w:rPr>
          <w:rFonts w:eastAsiaTheme="minorEastAsia"/>
        </w:rPr>
        <w:t>8.8 施工设备和临时设施</w:t>
      </w:r>
      <w:bookmarkEnd w:id="721"/>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8.8.1 承包人提供的施工设备和临时设施</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sz w:val="24"/>
          <w:szCs w:val="32"/>
          <w:u w:val="single"/>
        </w:rPr>
      </w:pPr>
      <w:r>
        <w:rPr>
          <w:rFonts w:hint="eastAsia" w:ascii="Times New Roman" w:hAnsi="Times New Roman" w:eastAsiaTheme="minorEastAsia"/>
          <w:sz w:val="24"/>
          <w:szCs w:val="32"/>
          <w:u w:val="single"/>
        </w:rPr>
        <w:t>（1）</w:t>
      </w:r>
      <w:r>
        <w:rPr>
          <w:rFonts w:ascii="Times New Roman" w:hAnsi="Times New Roman" w:eastAsiaTheme="minorEastAsia"/>
          <w:sz w:val="24"/>
          <w:szCs w:val="32"/>
          <w:u w:val="single"/>
        </w:rPr>
        <w:t>关于修建临时设施费用承担的约定：</w:t>
      </w:r>
      <w:r>
        <w:rPr>
          <w:rFonts w:hint="eastAsia" w:ascii="Times New Roman" w:hAnsi="Times New Roman" w:eastAsiaTheme="minorEastAsia"/>
          <w:sz w:val="24"/>
          <w:szCs w:val="32"/>
          <w:u w:val="single"/>
        </w:rPr>
        <w:t>已包含于合同价款内；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sz w:val="24"/>
          <w:szCs w:val="32"/>
          <w:u w:val="single"/>
        </w:rPr>
      </w:pPr>
      <w:r>
        <w:rPr>
          <w:rFonts w:hint="eastAsia" w:ascii="Times New Roman" w:hAnsi="Times New Roman" w:eastAsiaTheme="minorEastAsia"/>
          <w:sz w:val="24"/>
          <w:szCs w:val="32"/>
          <w:u w:val="single"/>
        </w:rPr>
        <w:t>（2）承包人在塔吊、施工电梯、外墙脚手架拆除前，须提前告知监理人并得到监理人批准；</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sz w:val="24"/>
          <w:szCs w:val="32"/>
          <w:u w:val="single"/>
        </w:rPr>
      </w:pPr>
      <w:r>
        <w:rPr>
          <w:rFonts w:hint="eastAsia" w:ascii="Times New Roman" w:hAnsi="Times New Roman" w:eastAsiaTheme="minorEastAsia"/>
          <w:sz w:val="24"/>
          <w:szCs w:val="32"/>
          <w:u w:val="single"/>
        </w:rPr>
        <w:t>（3）施工区内临时设施、临时构筑物、临时道路、水电管线等的修建、保养、拆除及外运，施工现场内地下管道和临近建筑物、构筑物及临街交通要道、人行道的保护，雨、污水排放等由承包人负责，相关费用已包含于合同价款中，不再另行计取。因承包人防护不力而发生事故，相关责任和费用由承包人承担。</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imes New Roman" w:hAnsi="Times New Roman" w:eastAsiaTheme="minorEastAsia"/>
          <w:sz w:val="24"/>
          <w:szCs w:val="32"/>
          <w:u w:val="single"/>
        </w:rPr>
      </w:pPr>
      <w:r>
        <w:rPr>
          <w:rFonts w:hint="eastAsia" w:ascii="Times New Roman" w:hAnsi="Times New Roman" w:eastAsiaTheme="minorEastAsia"/>
          <w:sz w:val="24"/>
          <w:szCs w:val="32"/>
          <w:u w:val="single"/>
        </w:rPr>
        <w:t>关于修建临时设施费用承担的约定:由承包人承担。</w:t>
      </w:r>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Pr>
        <w:pStyle w:val="4"/>
        <w:bidi w:val="0"/>
        <w:spacing w:line="480" w:lineRule="exact"/>
        <w:ind w:firstLine="480" w:firstLineChars="200"/>
        <w:rPr>
          <w:rFonts w:eastAsiaTheme="minorEastAsia"/>
        </w:rPr>
      </w:pPr>
      <w:bookmarkStart w:id="722" w:name="_Toc704"/>
      <w:r>
        <w:rPr>
          <w:rFonts w:eastAsiaTheme="minorEastAsia"/>
        </w:rPr>
        <w:t>9</w:t>
      </w:r>
      <w:bookmarkEnd w:id="699"/>
      <w:bookmarkEnd w:id="700"/>
      <w:bookmarkEnd w:id="701"/>
      <w:bookmarkStart w:id="723" w:name="_Toc312678021"/>
      <w:bookmarkStart w:id="724" w:name="_Toc312677495"/>
      <w:bookmarkStart w:id="725" w:name="_Toc304295559"/>
      <w:bookmarkStart w:id="726" w:name="_Toc300934982"/>
      <w:bookmarkStart w:id="727" w:name="_Toc303539139"/>
      <w:bookmarkStart w:id="728" w:name="_Toc297216192"/>
      <w:bookmarkStart w:id="729" w:name="_Toc297123533"/>
      <w:bookmarkStart w:id="730" w:name="_Toc267251427"/>
      <w:bookmarkStart w:id="731" w:name="_Toc296346674"/>
      <w:bookmarkStart w:id="732" w:name="_Toc292559883"/>
      <w:bookmarkStart w:id="733" w:name="_Toc296503173"/>
      <w:bookmarkStart w:id="734" w:name="_Toc296891213"/>
      <w:bookmarkStart w:id="735" w:name="_Toc292559378"/>
      <w:bookmarkStart w:id="736" w:name="_Toc297120473"/>
      <w:bookmarkStart w:id="737" w:name="_Toc296347172"/>
      <w:bookmarkStart w:id="738" w:name="_Toc297048359"/>
      <w:bookmarkStart w:id="739" w:name="_Toc296891001"/>
      <w:bookmarkStart w:id="740" w:name="_Toc267251428"/>
      <w:bookmarkStart w:id="741" w:name="_Toc296944512"/>
      <w:r>
        <w:rPr>
          <w:rFonts w:eastAsiaTheme="minorEastAsia"/>
        </w:rPr>
        <w:t>. 试验与检验</w:t>
      </w:r>
      <w:bookmarkEnd w:id="722"/>
    </w:p>
    <w:bookmarkEnd w:id="723"/>
    <w:bookmarkEnd w:id="724"/>
    <w:bookmarkEnd w:id="725"/>
    <w:bookmarkEnd w:id="726"/>
    <w:bookmarkEnd w:id="727"/>
    <w:bookmarkEnd w:id="728"/>
    <w:bookmarkEnd w:id="729"/>
    <w:p>
      <w:pPr>
        <w:pStyle w:val="5"/>
        <w:bidi w:val="0"/>
        <w:spacing w:line="480" w:lineRule="exact"/>
        <w:ind w:firstLine="480" w:firstLineChars="200"/>
        <w:rPr>
          <w:rFonts w:eastAsiaTheme="minorEastAsia"/>
        </w:rPr>
      </w:pPr>
      <w:bookmarkStart w:id="742" w:name="_Toc2399"/>
      <w:r>
        <w:rPr>
          <w:rFonts w:eastAsiaTheme="minorEastAsia"/>
        </w:rPr>
        <w:t>9</w:t>
      </w:r>
      <w:bookmarkStart w:id="743" w:name="_Toc304295560"/>
      <w:bookmarkStart w:id="744" w:name="_Toc300934983"/>
      <w:bookmarkStart w:id="745" w:name="_Toc303539140"/>
      <w:bookmarkStart w:id="746" w:name="_Toc297123534"/>
      <w:bookmarkStart w:id="747" w:name="_Toc312678022"/>
      <w:bookmarkStart w:id="748" w:name="_Toc297216193"/>
      <w:bookmarkStart w:id="749" w:name="_Toc312677496"/>
      <w:r>
        <w:rPr>
          <w:rFonts w:eastAsiaTheme="minorEastAsia"/>
        </w:rPr>
        <w:t>.1试验设备与试验人员</w:t>
      </w:r>
      <w:bookmarkEnd w:id="742"/>
    </w:p>
    <w:bookmarkEnd w:id="743"/>
    <w:bookmarkEnd w:id="744"/>
    <w:bookmarkEnd w:id="745"/>
    <w:bookmarkEnd w:id="746"/>
    <w:bookmarkEnd w:id="747"/>
    <w:bookmarkEnd w:id="748"/>
    <w:bookmarkEnd w:id="749"/>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9</w:t>
      </w:r>
      <w:bookmarkStart w:id="750" w:name="_Toc303539141"/>
      <w:bookmarkStart w:id="751" w:name="_Toc300934984"/>
      <w:bookmarkStart w:id="752" w:name="_Toc297216194"/>
      <w:bookmarkStart w:id="753" w:name="_Toc304295561"/>
      <w:bookmarkStart w:id="754" w:name="_Toc312677497"/>
      <w:bookmarkStart w:id="755" w:name="_Toc297123535"/>
      <w:bookmarkStart w:id="756" w:name="_Toc312678023"/>
      <w:bookmarkStart w:id="757" w:name="_Toc318581174"/>
      <w:r>
        <w:rPr>
          <w:rFonts w:ascii="Times New Roman" w:hAnsi="Times New Roman" w:eastAsiaTheme="minorEastAsia"/>
          <w:sz w:val="24"/>
          <w:szCs w:val="32"/>
        </w:rPr>
        <w:t>.1.2 试验设备</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施工现场需要配置的试验场所：</w:t>
      </w:r>
      <w:bookmarkEnd w:id="750"/>
      <w:bookmarkEnd w:id="751"/>
      <w:bookmarkEnd w:id="752"/>
      <w:bookmarkEnd w:id="753"/>
      <w:bookmarkEnd w:id="754"/>
      <w:bookmarkEnd w:id="755"/>
      <w:bookmarkEnd w:id="756"/>
      <w:bookmarkStart w:id="758" w:name="_Toc297216195"/>
      <w:bookmarkStart w:id="759" w:name="_Toc297123536"/>
      <w:bookmarkStart w:id="760" w:name="_Toc312678024"/>
      <w:bookmarkStart w:id="761" w:name="_Toc312677498"/>
      <w:bookmarkStart w:id="762" w:name="_Toc300934985"/>
      <w:bookmarkStart w:id="763" w:name="_Toc303539142"/>
      <w:bookmarkStart w:id="764" w:name="_Toc304295562"/>
      <w:r>
        <w:rPr>
          <w:rFonts w:hint="eastAsia" w:ascii="Times New Roman" w:hAnsi="Times New Roman" w:eastAsiaTheme="minorEastAsia"/>
          <w:sz w:val="24"/>
          <w:szCs w:val="32"/>
          <w:u w:val="single"/>
        </w:rPr>
        <w:t>承包人自行解决，费用包含在合同总价中</w:t>
      </w:r>
      <w:r>
        <w:rPr>
          <w:rFonts w:ascii="Times New Roman" w:hAnsi="Times New Roman" w:eastAsiaTheme="minorEastAsia"/>
          <w:sz w:val="24"/>
          <w:szCs w:val="32"/>
        </w:rPr>
        <w:t>。</w:t>
      </w:r>
      <w:r>
        <w:rPr>
          <w:rFonts w:hint="eastAsia" w:ascii="Times New Roman" w:hAnsi="Times New Roman" w:eastAsiaTheme="minorEastAsia"/>
          <w:sz w:val="24"/>
          <w:szCs w:val="32"/>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施工现场需要配备的试验设备：</w:t>
      </w:r>
      <w:r>
        <w:rPr>
          <w:rFonts w:hint="eastAsia" w:ascii="Times New Roman" w:hAnsi="Times New Roman" w:eastAsiaTheme="minorEastAsia"/>
          <w:sz w:val="24"/>
          <w:szCs w:val="32"/>
          <w:u w:val="single"/>
        </w:rPr>
        <w:t>承包人自行解决，费用包含在合同总价中</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施工现场需要具备的其他试验条件：</w:t>
      </w:r>
      <w:r>
        <w:rPr>
          <w:rFonts w:hint="eastAsia" w:ascii="Times New Roman" w:hAnsi="Times New Roman" w:eastAsiaTheme="minorEastAsia"/>
          <w:sz w:val="24"/>
          <w:szCs w:val="32"/>
          <w:u w:val="single"/>
        </w:rPr>
        <w:t>承包人自行解决，费用包含在合同总价中</w:t>
      </w:r>
      <w:r>
        <w:rPr>
          <w:rFonts w:ascii="Times New Roman" w:hAnsi="Times New Roman" w:eastAsiaTheme="minorEastAsia"/>
          <w:sz w:val="24"/>
          <w:szCs w:val="32"/>
        </w:rPr>
        <w:t>。</w:t>
      </w:r>
    </w:p>
    <w:p>
      <w:pPr>
        <w:pStyle w:val="5"/>
        <w:bidi w:val="0"/>
        <w:spacing w:line="480" w:lineRule="exact"/>
        <w:ind w:firstLine="480" w:firstLineChars="200"/>
        <w:rPr>
          <w:rFonts w:eastAsiaTheme="minorEastAsia"/>
        </w:rPr>
      </w:pPr>
      <w:bookmarkStart w:id="765" w:name="_Toc3793"/>
      <w:r>
        <w:rPr>
          <w:rFonts w:eastAsiaTheme="minorEastAsia"/>
        </w:rPr>
        <w:t>9.4 现场工艺试验</w:t>
      </w:r>
      <w:bookmarkEnd w:id="765"/>
      <w:r>
        <w:rPr>
          <w:rFonts w:hint="eastAsia" w:eastAsiaTheme="minorEastAsia"/>
        </w:rPr>
        <w:t xml:space="preserve">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ascii="Times New Roman" w:hAnsi="Times New Roman" w:eastAsiaTheme="minorEastAsia"/>
          <w:sz w:val="24"/>
          <w:szCs w:val="32"/>
        </w:rPr>
        <w:t>现场工艺试验的有关约定：</w:t>
      </w:r>
      <w:r>
        <w:rPr>
          <w:rFonts w:hint="eastAsia" w:ascii="Times New Roman" w:hAnsi="Times New Roman" w:eastAsiaTheme="minorEastAsia"/>
          <w:sz w:val="24"/>
          <w:szCs w:val="32"/>
          <w:u w:val="single"/>
        </w:rPr>
        <w:t>按相关规范设置</w:t>
      </w:r>
      <w:r>
        <w:rPr>
          <w:rFonts w:ascii="Times New Roman" w:hAnsi="Times New Roman" w:eastAsiaTheme="minorEastAsia"/>
          <w:sz w:val="24"/>
          <w:szCs w:val="32"/>
        </w:rPr>
        <w:t>。</w:t>
      </w:r>
    </w:p>
    <w:bookmarkEnd w:id="757"/>
    <w:bookmarkEnd w:id="758"/>
    <w:bookmarkEnd w:id="759"/>
    <w:bookmarkEnd w:id="760"/>
    <w:bookmarkEnd w:id="761"/>
    <w:bookmarkEnd w:id="762"/>
    <w:bookmarkEnd w:id="763"/>
    <w:bookmarkEnd w:id="764"/>
    <w:p>
      <w:pPr>
        <w:pStyle w:val="4"/>
        <w:bidi w:val="0"/>
        <w:spacing w:line="480" w:lineRule="exact"/>
        <w:ind w:firstLine="480" w:firstLineChars="200"/>
        <w:rPr>
          <w:rFonts w:eastAsiaTheme="minorEastAsia"/>
        </w:rPr>
      </w:pPr>
      <w:bookmarkStart w:id="766" w:name="_Toc12722"/>
      <w:r>
        <w:rPr>
          <w:rFonts w:eastAsiaTheme="minorEastAsia"/>
        </w:rPr>
        <w:t>1</w:t>
      </w:r>
      <w:bookmarkEnd w:id="730"/>
      <w:bookmarkEnd w:id="731"/>
      <w:bookmarkEnd w:id="732"/>
      <w:bookmarkEnd w:id="733"/>
      <w:bookmarkEnd w:id="734"/>
      <w:bookmarkEnd w:id="735"/>
      <w:bookmarkEnd w:id="736"/>
      <w:bookmarkEnd w:id="737"/>
      <w:bookmarkEnd w:id="738"/>
      <w:bookmarkEnd w:id="739"/>
      <w:bookmarkEnd w:id="740"/>
      <w:bookmarkEnd w:id="741"/>
      <w:bookmarkStart w:id="767" w:name="_Toc296347192"/>
      <w:bookmarkStart w:id="768" w:name="_Toc296891021"/>
      <w:bookmarkStart w:id="769" w:name="_Toc304295566"/>
      <w:bookmarkStart w:id="770" w:name="_Toc303539146"/>
      <w:bookmarkStart w:id="771" w:name="_Toc297123540"/>
      <w:bookmarkStart w:id="772" w:name="_Toc297216199"/>
      <w:bookmarkStart w:id="773" w:name="_Toc297120493"/>
      <w:bookmarkStart w:id="774" w:name="_Toc296346694"/>
      <w:bookmarkStart w:id="775" w:name="_Toc292559398"/>
      <w:bookmarkStart w:id="776" w:name="_Toc296944532"/>
      <w:bookmarkStart w:id="777" w:name="_Toc296503193"/>
      <w:bookmarkStart w:id="778" w:name="_Toc292559903"/>
      <w:bookmarkStart w:id="779" w:name="_Toc297048379"/>
      <w:bookmarkStart w:id="780" w:name="_Toc296891233"/>
      <w:bookmarkStart w:id="781" w:name="_Toc300934989"/>
      <w:bookmarkStart w:id="782" w:name="_Toc312677499"/>
      <w:bookmarkStart w:id="783" w:name="_Toc312678025"/>
      <w:bookmarkStart w:id="784" w:name="_Toc267251439"/>
      <w:bookmarkStart w:id="785" w:name="_Toc267251440"/>
      <w:bookmarkStart w:id="786" w:name="_Toc267251437"/>
      <w:bookmarkStart w:id="787" w:name="_Toc267251441"/>
      <w:bookmarkStart w:id="788" w:name="_Toc267251433"/>
      <w:bookmarkStart w:id="789" w:name="_Toc267251435"/>
      <w:bookmarkStart w:id="790" w:name="_Toc267251442"/>
      <w:r>
        <w:rPr>
          <w:rFonts w:eastAsiaTheme="minorEastAsia"/>
        </w:rPr>
        <w:t>0. 变更</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bookmarkEnd w:id="782"/>
    <w:bookmarkEnd w:id="783"/>
    <w:p>
      <w:pPr>
        <w:pStyle w:val="5"/>
        <w:bidi w:val="0"/>
        <w:spacing w:line="480" w:lineRule="exact"/>
        <w:ind w:firstLine="480" w:firstLineChars="200"/>
        <w:rPr>
          <w:rFonts w:eastAsiaTheme="minorEastAsia"/>
        </w:rPr>
      </w:pPr>
      <w:bookmarkStart w:id="791" w:name="_Toc24677"/>
      <w:r>
        <w:rPr>
          <w:rFonts w:eastAsiaTheme="minorEastAsia"/>
        </w:rPr>
        <w:t>1</w:t>
      </w:r>
      <w:bookmarkStart w:id="792" w:name="_Toc297048380"/>
      <w:bookmarkStart w:id="793" w:name="_Toc297123541"/>
      <w:bookmarkStart w:id="794" w:name="_Toc296891234"/>
      <w:bookmarkStart w:id="795" w:name="_Toc297120494"/>
      <w:bookmarkStart w:id="796" w:name="_Toc304295567"/>
      <w:bookmarkStart w:id="797" w:name="_Toc292559399"/>
      <w:bookmarkStart w:id="798" w:name="_Toc312677500"/>
      <w:bookmarkStart w:id="799" w:name="_Toc300934990"/>
      <w:bookmarkStart w:id="800" w:name="_Toc297216200"/>
      <w:bookmarkStart w:id="801" w:name="_Toc296347193"/>
      <w:bookmarkStart w:id="802" w:name="_Toc296346695"/>
      <w:bookmarkStart w:id="803" w:name="_Toc303539147"/>
      <w:bookmarkStart w:id="804" w:name="_Toc312678026"/>
      <w:bookmarkStart w:id="805" w:name="_Toc296503194"/>
      <w:bookmarkStart w:id="806" w:name="_Toc296891022"/>
      <w:bookmarkStart w:id="807" w:name="_Toc296944533"/>
      <w:bookmarkStart w:id="808" w:name="_Toc292559904"/>
      <w:r>
        <w:rPr>
          <w:rFonts w:eastAsiaTheme="minorEastAsia"/>
        </w:rPr>
        <w:t>0.1变更的范围</w:t>
      </w:r>
      <w:bookmarkEnd w:id="791"/>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关于变更的范围的约定：</w:t>
      </w:r>
      <w:r>
        <w:rPr>
          <w:rFonts w:hint="eastAsia" w:ascii="Times New Roman" w:hAnsi="Times New Roman" w:eastAsiaTheme="minorEastAsia"/>
          <w:color w:val="000000"/>
          <w:sz w:val="24"/>
          <w:szCs w:val="32"/>
          <w:u w:val="single"/>
        </w:rPr>
        <w:t>除通用合同条款约定的内容外，还包括：</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（1）增加或减少合同中任何工作，或追加额外的工作:</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（2）取消合同中任何工作，但转由他人实施的工作除外;</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（3）改变合同中任何工作的质量标准或其他特性:</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（4）改变工程的基线、标高、位置和尺寸;</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（5）改变工程的时间安排或实施顺序。</w:t>
      </w:r>
    </w:p>
    <w:p>
      <w:pPr>
        <w:pStyle w:val="5"/>
        <w:bidi w:val="0"/>
        <w:spacing w:line="480" w:lineRule="exact"/>
        <w:ind w:firstLine="480" w:firstLineChars="200"/>
        <w:rPr>
          <w:rFonts w:eastAsiaTheme="minorEastAsia"/>
        </w:rPr>
      </w:pPr>
      <w:bookmarkStart w:id="809" w:name="_Toc20064"/>
      <w:r>
        <w:rPr>
          <w:rFonts w:hint="eastAsia" w:eastAsiaTheme="minorEastAsia"/>
        </w:rPr>
        <w:t>10.3变更程序</w:t>
      </w:r>
      <w:bookmarkEnd w:id="809"/>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本合同所涉及的一切通知、报告等资料均须书面形式发出，以其它形式发出的不具有法律效力；紧急情况可采用电话或网络等方式，但须在48小时内补办书面手续。发包人所做出的一切通知、报告、会议纪要、变更、签证等来往文件必须由发包人代表签字并加盖发包人公章方为有效，否则无效。</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2）合同履行过程中发生的索赔、变更、签证、材料调差等增加或调减的合同价款及工期调整事项，必须在法律约定的时效内单独提出并按本条要求进行审批。提出时点以承包人发起纸面申请的时点为准，超过时效，不予计算，视为承包人自愿放弃此项权利，由此导致承包人的损失，承包人不能提出疑义和索赔。</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（3）凡会议记录（纪要）中涉及到索赔、变更、签证、材料调差等费用增减、工期调整的内容，均不作为费用及工期计算依据，仅作为技术性文件。 凡涉及费用、工期调整等事项，必须使用统一的工作联系单格式并经发包人审批且加盖发包人公章为有效。</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10.3.3变更执行</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（1）如因设计变更造成返工或其它损失，承包人必须在变更发生之日起【</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 xml:space="preserve"> 】天内申请办理，工程量计入同期结算。未在本条规定时间内签证确认的，视为承包人放弃主张工期顺延与损失赔偿请求的权利，承包人不得在以后再提出权利主张。</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highlight w:val="none"/>
          <w:u w:val="single"/>
        </w:rPr>
      </w:pPr>
      <w:r>
        <w:rPr>
          <w:rFonts w:hint="eastAsia" w:ascii="Times New Roman" w:hAnsi="Times New Roman" w:eastAsiaTheme="minorEastAsia"/>
          <w:color w:val="000000"/>
          <w:sz w:val="24"/>
          <w:szCs w:val="32"/>
          <w:u w:val="single"/>
        </w:rPr>
        <w:t>（2）</w:t>
      </w:r>
      <w:r>
        <w:rPr>
          <w:rFonts w:hint="eastAsia" w:ascii="Times New Roman" w:hAnsi="Times New Roman" w:eastAsiaTheme="minorEastAsia"/>
          <w:color w:val="000000"/>
          <w:sz w:val="24"/>
          <w:szCs w:val="32"/>
          <w:highlight w:val="none"/>
          <w:u w:val="single"/>
        </w:rPr>
        <w:t>对于发包人发出的变更与签证，承包人必须无条件按发包人要求（包含工期、质量等）配合实施，否则发包人有权另选第三方单位实施，同时按与第三方实施单位谈妥价格的120%对承包人</w:t>
      </w:r>
      <w:r>
        <w:rPr>
          <w:rFonts w:hint="eastAsia" w:ascii="Times New Roman" w:hAnsi="Times New Roman" w:eastAsiaTheme="minorEastAsia"/>
          <w:color w:val="000000"/>
          <w:sz w:val="24"/>
          <w:szCs w:val="32"/>
          <w:highlight w:val="none"/>
          <w:u w:val="single"/>
          <w:lang w:val="en-US" w:eastAsia="zh-CN"/>
        </w:rPr>
        <w:t>收取违约金</w:t>
      </w:r>
      <w:r>
        <w:rPr>
          <w:rFonts w:hint="eastAsia" w:ascii="Times New Roman" w:hAnsi="Times New Roman" w:eastAsiaTheme="minorEastAsia"/>
          <w:color w:val="000000"/>
          <w:sz w:val="24"/>
          <w:szCs w:val="32"/>
          <w:highlight w:val="none"/>
          <w:u w:val="single"/>
        </w:rPr>
        <w:t>，并由承包人承担第三方施工的安全、质量与工期责任。如发包人认为承包人不能胜任合同范围内的部分工作内容，发包人有权随时将该部分工作内容交由第三方实施，并从合同价中扣除该部分工作相应工程款，承包人不得提出任何异议及补偿要求。如因承包人原因引发变更签证事项对项目开发进度、质量安全等产生严重影响、导致发包人受有损失，承包人承担所有损失，同时按损失的120%对承包人</w:t>
      </w:r>
      <w:r>
        <w:rPr>
          <w:rFonts w:hint="eastAsia" w:ascii="Times New Roman" w:hAnsi="Times New Roman" w:eastAsiaTheme="minorEastAsia"/>
          <w:color w:val="000000"/>
          <w:sz w:val="24"/>
          <w:szCs w:val="32"/>
          <w:highlight w:val="none"/>
          <w:u w:val="single"/>
          <w:lang w:val="en-US" w:eastAsia="zh-CN"/>
        </w:rPr>
        <w:t>收取违约金</w:t>
      </w:r>
      <w:r>
        <w:rPr>
          <w:rFonts w:hint="eastAsia" w:ascii="Times New Roman" w:hAnsi="Times New Roman" w:eastAsiaTheme="minorEastAsia"/>
          <w:color w:val="000000"/>
          <w:sz w:val="24"/>
          <w:szCs w:val="32"/>
          <w:highlight w:val="none"/>
          <w:u w:val="single"/>
        </w:rPr>
        <w:t>。</w:t>
      </w:r>
    </w:p>
    <w:p>
      <w:pPr>
        <w:pStyle w:val="5"/>
        <w:bidi w:val="0"/>
        <w:spacing w:line="480" w:lineRule="exact"/>
        <w:ind w:firstLine="480" w:firstLineChars="200"/>
        <w:rPr>
          <w:rFonts w:eastAsiaTheme="minorEastAsia"/>
        </w:rPr>
      </w:pPr>
      <w:bookmarkStart w:id="810" w:name="_Toc15460"/>
      <w:r>
        <w:rPr>
          <w:rFonts w:eastAsiaTheme="minorEastAsia"/>
        </w:rPr>
        <w:t>10.4 变更估价</w:t>
      </w:r>
      <w:bookmarkEnd w:id="810"/>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hint="eastAsia" w:ascii="Times New Roman" w:hAnsi="Times New Roman" w:eastAsiaTheme="minorEastAsia"/>
          <w:sz w:val="24"/>
          <w:szCs w:val="32"/>
        </w:rPr>
        <w:t>10.4.1 变更估价原则</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 xml:space="preserve">关于变更估价的约定: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(1)已标价工程量清单或预算书有相同项目的，按照相同项目单价认定;</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(2)已标价工程量清单或预算书中无相同项目，但有类似项目的，参照类似项目的单价认定:</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(3)变更导致实际完成的变更工程量与已标价工程量清单或预算书中列明的该项目工程量的变化幅度超过【</w:t>
      </w:r>
      <w:r>
        <w:rPr>
          <w:rFonts w:hint="eastAsia" w:ascii="Times New Roman" w:hAnsi="Times New Roman" w:eastAsiaTheme="minorEastAsia"/>
          <w:color w:val="000000"/>
          <w:sz w:val="24"/>
          <w:szCs w:val="32"/>
          <w:u w:val="single"/>
          <w:lang w:val="en-US" w:eastAsia="zh-CN"/>
        </w:rPr>
        <w:t>10</w:t>
      </w:r>
      <w:r>
        <w:rPr>
          <w:rFonts w:hint="eastAsia" w:ascii="Times New Roman" w:hAnsi="Times New Roman" w:eastAsiaTheme="minorEastAsia"/>
          <w:color w:val="000000"/>
          <w:sz w:val="24"/>
          <w:szCs w:val="32"/>
          <w:u w:val="single"/>
        </w:rPr>
        <w:t>】%的，或已标价工程量清单或预算书中无相同项目及类似项目单价的，按照合理的成本与利润构成的原则，由合同当事人商定或确定变更工作的单价。</w:t>
      </w:r>
    </w:p>
    <w:p>
      <w:pPr>
        <w:pStyle w:val="5"/>
        <w:bidi w:val="0"/>
        <w:spacing w:line="480" w:lineRule="exact"/>
        <w:ind w:firstLine="480" w:firstLineChars="200"/>
        <w:rPr>
          <w:rFonts w:eastAsiaTheme="minorEastAsia"/>
        </w:rPr>
      </w:pPr>
      <w:bookmarkStart w:id="811" w:name="_Toc6122"/>
      <w:r>
        <w:rPr>
          <w:rFonts w:eastAsiaTheme="minorEastAsia"/>
        </w:rPr>
        <w:t>1</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Start w:id="812" w:name="_Toc296503197"/>
      <w:bookmarkStart w:id="813" w:name="_Toc292559907"/>
      <w:bookmarkStart w:id="814" w:name="_Toc300934993"/>
      <w:bookmarkStart w:id="815" w:name="_Toc296944536"/>
      <w:bookmarkStart w:id="816" w:name="_Toc296891025"/>
      <w:bookmarkStart w:id="817" w:name="_Toc296891237"/>
      <w:bookmarkStart w:id="818" w:name="_Toc297120497"/>
      <w:bookmarkStart w:id="819" w:name="_Toc297216203"/>
      <w:bookmarkStart w:id="820" w:name="_Toc296346698"/>
      <w:bookmarkStart w:id="821" w:name="_Toc297123544"/>
      <w:bookmarkStart w:id="822" w:name="_Toc303539150"/>
      <w:bookmarkStart w:id="823" w:name="_Toc292559402"/>
      <w:bookmarkStart w:id="824" w:name="_Toc296347196"/>
      <w:bookmarkStart w:id="825" w:name="_Toc297048383"/>
      <w:bookmarkStart w:id="826" w:name="_Toc304295570"/>
      <w:bookmarkStart w:id="827" w:name="_Toc312677503"/>
      <w:bookmarkStart w:id="828" w:name="_Toc312678029"/>
      <w:r>
        <w:rPr>
          <w:rFonts w:eastAsiaTheme="minorEastAsia"/>
        </w:rPr>
        <w:t>0.5承</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Start w:id="829" w:name="_Toc292559408"/>
      <w:bookmarkStart w:id="830" w:name="_Toc300934994"/>
      <w:bookmarkStart w:id="831" w:name="_Toc296891243"/>
      <w:bookmarkStart w:id="832" w:name="_Toc303539151"/>
      <w:bookmarkStart w:id="833" w:name="_Toc297048389"/>
      <w:bookmarkStart w:id="834" w:name="_Toc296347202"/>
      <w:bookmarkStart w:id="835" w:name="_Toc297216204"/>
      <w:bookmarkStart w:id="836" w:name="_Toc296944542"/>
      <w:bookmarkStart w:id="837" w:name="_Toc297120503"/>
      <w:bookmarkStart w:id="838" w:name="_Toc296346704"/>
      <w:bookmarkStart w:id="839" w:name="_Toc296503203"/>
      <w:bookmarkStart w:id="840" w:name="_Toc297123545"/>
      <w:bookmarkStart w:id="841" w:name="_Toc296891031"/>
      <w:bookmarkStart w:id="842" w:name="_Toc292559913"/>
      <w:r>
        <w:rPr>
          <w:rFonts w:eastAsiaTheme="minorEastAsia"/>
        </w:rPr>
        <w:t>包人的合理化建议</w:t>
      </w:r>
      <w:bookmarkEnd w:id="811"/>
    </w:p>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监理人审查承包人合理化建议的期限：</w:t>
      </w:r>
      <w:r>
        <w:rPr>
          <w:rFonts w:hint="eastAsia" w:ascii="Times New Roman" w:hAnsi="Times New Roman" w:eastAsiaTheme="minorEastAsia"/>
          <w:sz w:val="24"/>
          <w:szCs w:val="32"/>
          <w:u w:val="single"/>
        </w:rPr>
        <w:t>【</w:t>
      </w:r>
      <w:r>
        <w:rPr>
          <w:rFonts w:hint="eastAsia" w:ascii="Times New Roman" w:hAnsi="Times New Roman" w:eastAsiaTheme="minorEastAsia"/>
          <w:sz w:val="24"/>
          <w:szCs w:val="32"/>
          <w:u w:val="single"/>
          <w:lang w:val="en-US" w:eastAsia="zh-CN"/>
        </w:rPr>
        <w:t>/</w:t>
      </w:r>
      <w:r>
        <w:rPr>
          <w:rFonts w:hint="eastAsia" w:ascii="Times New Roman" w:hAnsi="Times New Roman" w:eastAsiaTheme="minorEastAsia"/>
          <w:sz w:val="24"/>
          <w:szCs w:val="32"/>
          <w:u w:val="single"/>
        </w:rPr>
        <w:t>】天</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发包人审批承包人合理化建议的期限：</w:t>
      </w:r>
      <w:r>
        <w:rPr>
          <w:rFonts w:hint="eastAsia" w:ascii="Times New Roman" w:hAnsi="Times New Roman" w:eastAsiaTheme="minorEastAsia"/>
          <w:sz w:val="24"/>
          <w:szCs w:val="32"/>
          <w:u w:val="single"/>
        </w:rPr>
        <w:t>【</w:t>
      </w:r>
      <w:r>
        <w:rPr>
          <w:rFonts w:hint="eastAsia" w:ascii="Times New Roman" w:hAnsi="Times New Roman" w:eastAsiaTheme="minorEastAsia"/>
          <w:sz w:val="24"/>
          <w:szCs w:val="32"/>
          <w:u w:val="single"/>
          <w:lang w:val="en-US" w:eastAsia="zh-CN"/>
        </w:rPr>
        <w:t>3</w:t>
      </w:r>
      <w:r>
        <w:rPr>
          <w:rFonts w:hint="eastAsia" w:ascii="Times New Roman" w:hAnsi="Times New Roman" w:eastAsiaTheme="minorEastAsia"/>
          <w:sz w:val="24"/>
          <w:szCs w:val="32"/>
          <w:u w:val="single"/>
        </w:rPr>
        <w:t>】天</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u w:val="single"/>
        </w:rPr>
      </w:pPr>
      <w:r>
        <w:rPr>
          <w:rFonts w:ascii="Times New Roman" w:hAnsi="Times New Roman" w:eastAsiaTheme="minorEastAsia"/>
          <w:sz w:val="24"/>
          <w:szCs w:val="32"/>
        </w:rPr>
        <w:t>承</w:t>
      </w:r>
      <w:bookmarkStart w:id="843" w:name="_Toc296891032"/>
      <w:bookmarkStart w:id="844" w:name="_Toc304295571"/>
      <w:bookmarkStart w:id="845" w:name="_Toc296347203"/>
      <w:bookmarkStart w:id="846" w:name="_Toc300934995"/>
      <w:bookmarkStart w:id="847" w:name="_Toc292559409"/>
      <w:bookmarkStart w:id="848" w:name="_Toc297048390"/>
      <w:bookmarkStart w:id="849" w:name="_Toc292559914"/>
      <w:bookmarkStart w:id="850" w:name="_Toc297216205"/>
      <w:bookmarkStart w:id="851" w:name="_Toc303539152"/>
      <w:bookmarkStart w:id="852" w:name="_Toc297120504"/>
      <w:bookmarkStart w:id="853" w:name="_Toc318581175"/>
      <w:bookmarkStart w:id="854" w:name="_Toc296891244"/>
      <w:bookmarkStart w:id="855" w:name="_Toc297123546"/>
      <w:bookmarkStart w:id="856" w:name="_Toc312678030"/>
      <w:bookmarkStart w:id="857" w:name="_Toc296944543"/>
      <w:bookmarkStart w:id="858" w:name="_Toc296346705"/>
      <w:bookmarkStart w:id="859" w:name="_Toc296503204"/>
      <w:bookmarkStart w:id="860" w:name="_Toc312677504"/>
      <w:r>
        <w:rPr>
          <w:rFonts w:ascii="Times New Roman" w:hAnsi="Times New Roman" w:eastAsiaTheme="minorEastAsia"/>
          <w:sz w:val="24"/>
          <w:szCs w:val="32"/>
        </w:rPr>
        <w:t>包人提出的合理化建议降低了合同价格或者提高了工程经济效益的奖励的方法和金额为：</w:t>
      </w:r>
      <w:r>
        <w:rPr>
          <w:rFonts w:hint="eastAsia" w:ascii="Times New Roman" w:hAnsi="Times New Roman" w:eastAsiaTheme="minorEastAsia"/>
          <w:sz w:val="24"/>
          <w:szCs w:val="32"/>
          <w:u w:val="single"/>
        </w:rPr>
        <w:t>双方另行商定</w:t>
      </w:r>
      <w:r>
        <w:rPr>
          <w:rFonts w:ascii="Times New Roman" w:hAnsi="Times New Roman" w:eastAsiaTheme="minorEastAsia"/>
          <w:sz w:val="24"/>
          <w:szCs w:val="32"/>
        </w:rPr>
        <w:t>。</w:t>
      </w:r>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Pr>
        <w:pStyle w:val="5"/>
        <w:bidi w:val="0"/>
        <w:spacing w:line="480" w:lineRule="exact"/>
        <w:ind w:firstLine="480" w:firstLineChars="200"/>
        <w:rPr>
          <w:rFonts w:eastAsiaTheme="minorEastAsia"/>
        </w:rPr>
      </w:pPr>
      <w:bookmarkStart w:id="861" w:name="_Toc27730"/>
      <w:r>
        <w:rPr>
          <w:rFonts w:eastAsiaTheme="minorEastAsia"/>
        </w:rPr>
        <w:t>1</w:t>
      </w:r>
      <w:bookmarkStart w:id="862" w:name="_Toc297120499"/>
      <w:bookmarkStart w:id="863" w:name="_Toc297048385"/>
      <w:bookmarkStart w:id="864" w:name="_Toc312678033"/>
      <w:bookmarkStart w:id="865" w:name="_Toc297216207"/>
      <w:bookmarkStart w:id="866" w:name="_Toc300934997"/>
      <w:bookmarkStart w:id="867" w:name="_Toc304295574"/>
      <w:bookmarkStart w:id="868" w:name="_Toc312677507"/>
      <w:bookmarkStart w:id="869" w:name="_Toc296891027"/>
      <w:bookmarkStart w:id="870" w:name="_Toc296944538"/>
      <w:bookmarkStart w:id="871" w:name="_Toc297123548"/>
      <w:bookmarkStart w:id="872" w:name="_Toc303539154"/>
      <w:bookmarkStart w:id="873" w:name="_Toc296347198"/>
      <w:bookmarkStart w:id="874" w:name="_Toc296346700"/>
      <w:bookmarkStart w:id="875" w:name="_Toc296503199"/>
      <w:bookmarkStart w:id="876" w:name="_Toc292559909"/>
      <w:bookmarkStart w:id="877" w:name="_Toc296891239"/>
      <w:bookmarkStart w:id="878" w:name="_Toc292559404"/>
      <w:r>
        <w:rPr>
          <w:rFonts w:eastAsiaTheme="minorEastAsia"/>
        </w:rPr>
        <w:t>0.7 暂估价</w:t>
      </w:r>
      <w:bookmarkEnd w:id="861"/>
    </w:p>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kern w:val="0"/>
          <w:sz w:val="24"/>
          <w:szCs w:val="32"/>
        </w:rPr>
        <w:t>暂</w:t>
      </w:r>
      <w:bookmarkStart w:id="879" w:name="_Toc312677508"/>
      <w:bookmarkStart w:id="880" w:name="_Toc312678034"/>
      <w:bookmarkStart w:id="881" w:name="_Toc318581176"/>
      <w:r>
        <w:rPr>
          <w:rFonts w:ascii="Times New Roman" w:hAnsi="Times New Roman" w:eastAsiaTheme="minorEastAsia"/>
          <w:kern w:val="0"/>
          <w:sz w:val="24"/>
          <w:szCs w:val="32"/>
        </w:rPr>
        <w:t>估价材料和工程设备的明细详见附件</w:t>
      </w:r>
      <w:r>
        <w:rPr>
          <w:rFonts w:hint="eastAsia" w:ascii="Times New Roman" w:hAnsi="Times New Roman" w:eastAsiaTheme="minorEastAsia"/>
          <w:kern w:val="0"/>
          <w:sz w:val="24"/>
          <w:szCs w:val="32"/>
        </w:rPr>
        <w:t>11：《</w:t>
      </w:r>
      <w:r>
        <w:rPr>
          <w:rFonts w:ascii="Times New Roman" w:hAnsi="Times New Roman" w:eastAsiaTheme="minorEastAsia"/>
          <w:color w:val="000000"/>
          <w:sz w:val="24"/>
          <w:szCs w:val="32"/>
        </w:rPr>
        <w:t>暂估价一览表</w:t>
      </w:r>
      <w:r>
        <w:rPr>
          <w:rFonts w:hint="eastAsia" w:ascii="Times New Roman" w:hAnsi="Times New Roman" w:eastAsiaTheme="minorEastAsia"/>
          <w:color w:val="000000"/>
          <w:sz w:val="24"/>
          <w:szCs w:val="32"/>
        </w:rPr>
        <w:t>》</w:t>
      </w:r>
      <w:r>
        <w:rPr>
          <w:rFonts w:hint="eastAsia" w:ascii="Times New Roman" w:hAnsi="Times New Roman" w:eastAsiaTheme="minorEastAsia"/>
          <w:kern w:val="0"/>
          <w:sz w:val="24"/>
          <w:szCs w:val="32"/>
        </w:rPr>
        <w:t>。</w:t>
      </w:r>
    </w:p>
    <w:bookmarkEnd w:id="879"/>
    <w:bookmarkEnd w:id="880"/>
    <w:bookmarkEnd w:id="881"/>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1</w:t>
      </w:r>
      <w:bookmarkStart w:id="882" w:name="_Toc312678035"/>
      <w:bookmarkStart w:id="883" w:name="_Toc312677509"/>
      <w:bookmarkStart w:id="884" w:name="_Toc318581177"/>
      <w:r>
        <w:rPr>
          <w:rFonts w:ascii="Times New Roman" w:hAnsi="Times New Roman" w:eastAsiaTheme="minorEastAsia"/>
          <w:sz w:val="24"/>
          <w:szCs w:val="32"/>
        </w:rPr>
        <w:t>0.7.1 依法必须招标的暂估价项目</w:t>
      </w:r>
    </w:p>
    <w:bookmarkEnd w:id="882"/>
    <w:bookmarkEnd w:id="883"/>
    <w:bookmarkEnd w:id="884"/>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对于依法必须招标的暂估价项目的确认和批准采取第</w:t>
      </w:r>
      <w:r>
        <w:rPr>
          <w:rFonts w:hint="eastAsia" w:ascii="Times New Roman" w:hAnsi="Times New Roman" w:eastAsiaTheme="minorEastAsia"/>
          <w:sz w:val="24"/>
          <w:szCs w:val="32"/>
          <w:u w:val="single"/>
        </w:rPr>
        <w:t>本通用条款约定的第【</w:t>
      </w:r>
      <w:r>
        <w:rPr>
          <w:rFonts w:hint="eastAsia" w:ascii="Times New Roman" w:hAnsi="Times New Roman" w:eastAsiaTheme="minorEastAsia"/>
          <w:sz w:val="24"/>
          <w:szCs w:val="32"/>
          <w:u w:val="single"/>
          <w:lang w:val="en-US" w:eastAsia="zh-CN"/>
        </w:rPr>
        <w:t>/</w:t>
      </w:r>
      <w:r>
        <w:rPr>
          <w:rFonts w:hint="eastAsia" w:ascii="Times New Roman" w:hAnsi="Times New Roman" w:eastAsiaTheme="minorEastAsia"/>
          <w:sz w:val="24"/>
          <w:szCs w:val="32"/>
          <w:u w:val="single"/>
        </w:rPr>
        <w:t>】种方式</w:t>
      </w:r>
      <w:r>
        <w:rPr>
          <w:rFonts w:ascii="Times New Roman" w:hAnsi="Times New Roman" w:eastAsiaTheme="minorEastAsia"/>
          <w:sz w:val="24"/>
          <w:szCs w:val="32"/>
        </w:rPr>
        <w:t>种方式确定。</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10.7.2 不属于依法必须招标的暂估价项目</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ascii="Times New Roman" w:hAnsi="Times New Roman" w:eastAsiaTheme="minorEastAsia"/>
          <w:sz w:val="24"/>
          <w:szCs w:val="32"/>
        </w:rPr>
        <w:t>对于不属于依法必须招标的暂估价项目的确认和批准采取第</w:t>
      </w:r>
      <w:r>
        <w:rPr>
          <w:rFonts w:hint="eastAsia" w:ascii="Times New Roman" w:hAnsi="Times New Roman" w:eastAsiaTheme="minorEastAsia"/>
          <w:sz w:val="24"/>
          <w:szCs w:val="32"/>
          <w:u w:val="single"/>
        </w:rPr>
        <w:t>本通用条款约定的第【</w:t>
      </w:r>
      <w:r>
        <w:rPr>
          <w:rFonts w:hint="eastAsia" w:ascii="Times New Roman" w:hAnsi="Times New Roman" w:eastAsiaTheme="minorEastAsia"/>
          <w:sz w:val="24"/>
          <w:szCs w:val="32"/>
          <w:u w:val="single"/>
          <w:lang w:val="en-US" w:eastAsia="zh-CN"/>
        </w:rPr>
        <w:t>/</w:t>
      </w:r>
      <w:r>
        <w:rPr>
          <w:rFonts w:hint="eastAsia" w:ascii="Times New Roman" w:hAnsi="Times New Roman" w:eastAsiaTheme="minorEastAsia"/>
          <w:sz w:val="24"/>
          <w:szCs w:val="32"/>
          <w:u w:val="single"/>
        </w:rPr>
        <w:t>】种方式</w:t>
      </w:r>
      <w:r>
        <w:rPr>
          <w:rFonts w:ascii="Times New Roman" w:hAnsi="Times New Roman" w:eastAsiaTheme="minorEastAsia"/>
          <w:sz w:val="24"/>
          <w:szCs w:val="32"/>
        </w:rPr>
        <w:t>确定。</w:t>
      </w:r>
    </w:p>
    <w:p>
      <w:pPr>
        <w:pStyle w:val="5"/>
        <w:bidi w:val="0"/>
        <w:spacing w:line="480" w:lineRule="exact"/>
        <w:ind w:firstLine="480" w:firstLineChars="200"/>
        <w:rPr>
          <w:rFonts w:eastAsiaTheme="minorEastAsia"/>
        </w:rPr>
      </w:pPr>
      <w:bookmarkStart w:id="885" w:name="_Toc29472"/>
      <w:r>
        <w:rPr>
          <w:rFonts w:eastAsiaTheme="minorEastAsia"/>
        </w:rPr>
        <w:t>10.8 暂列金额</w:t>
      </w:r>
      <w:bookmarkEnd w:id="885"/>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color w:val="000000"/>
          <w:kern w:val="0"/>
          <w:sz w:val="24"/>
          <w:szCs w:val="32"/>
          <w:highlight w:val="none"/>
        </w:rPr>
      </w:pPr>
      <w:r>
        <w:rPr>
          <w:rFonts w:hint="eastAsia" w:ascii="Times New Roman" w:hAnsi="Times New Roman" w:eastAsiaTheme="minorEastAsia"/>
          <w:color w:val="000000"/>
          <w:kern w:val="0"/>
          <w:sz w:val="24"/>
          <w:szCs w:val="32"/>
          <w:highlight w:val="none"/>
        </w:rPr>
        <w:t>合同当事人关于暂列金额使用的约定：</w:t>
      </w:r>
      <w:r>
        <w:rPr>
          <w:rFonts w:hint="eastAsia" w:ascii="Times New Roman" w:hAnsi="Times New Roman" w:eastAsiaTheme="minorEastAsia"/>
          <w:sz w:val="24"/>
          <w:szCs w:val="32"/>
          <w:highlight w:val="none"/>
          <w:u w:val="single"/>
        </w:rPr>
        <w:t>由发包人根据工程项目情况分配使用</w:t>
      </w:r>
      <w:r>
        <w:rPr>
          <w:rFonts w:hint="eastAsia" w:ascii="Times New Roman" w:hAnsi="Times New Roman" w:eastAsiaTheme="minorEastAsia"/>
          <w:color w:val="000000"/>
          <w:kern w:val="0"/>
          <w:sz w:val="24"/>
          <w:szCs w:val="32"/>
          <w:highlight w:val="none"/>
        </w:rPr>
        <w:t>。</w:t>
      </w:r>
    </w:p>
    <w:p>
      <w:pPr>
        <w:pStyle w:val="4"/>
        <w:bidi w:val="0"/>
        <w:spacing w:line="480" w:lineRule="exact"/>
        <w:ind w:firstLine="480" w:firstLineChars="200"/>
        <w:rPr>
          <w:rFonts w:eastAsiaTheme="minorEastAsia"/>
        </w:rPr>
      </w:pPr>
      <w:bookmarkStart w:id="886" w:name="_Toc26587"/>
      <w:r>
        <w:rPr>
          <w:rFonts w:eastAsiaTheme="minorEastAsia"/>
        </w:rPr>
        <w:t>11. 价格调整</w:t>
      </w:r>
      <w:bookmarkEnd w:id="886"/>
    </w:p>
    <w:p>
      <w:pPr>
        <w:pStyle w:val="5"/>
        <w:bidi w:val="0"/>
        <w:spacing w:line="480" w:lineRule="exact"/>
        <w:ind w:firstLine="480" w:firstLineChars="200"/>
        <w:rPr>
          <w:rFonts w:eastAsiaTheme="minorEastAsia"/>
        </w:rPr>
      </w:pPr>
      <w:bookmarkStart w:id="887" w:name="_Toc28328"/>
      <w:bookmarkStart w:id="888" w:name="_Toc300935000"/>
      <w:bookmarkStart w:id="889" w:name="_Toc292559911"/>
      <w:bookmarkStart w:id="890" w:name="_Toc304295577"/>
      <w:bookmarkStart w:id="891" w:name="_Toc296347200"/>
      <w:bookmarkStart w:id="892" w:name="_Toc296891241"/>
      <w:bookmarkStart w:id="893" w:name="_Toc297048387"/>
      <w:bookmarkStart w:id="894" w:name="_Toc292559406"/>
      <w:bookmarkStart w:id="895" w:name="_Toc303539157"/>
      <w:bookmarkStart w:id="896" w:name="_Toc297123550"/>
      <w:bookmarkStart w:id="897" w:name="_Toc312678039"/>
      <w:bookmarkStart w:id="898" w:name="_Toc296503201"/>
      <w:bookmarkStart w:id="899" w:name="_Toc296944540"/>
      <w:bookmarkStart w:id="900" w:name="_Toc297120501"/>
      <w:bookmarkStart w:id="901" w:name="_Toc296346702"/>
      <w:bookmarkStart w:id="902" w:name="_Toc296891029"/>
      <w:bookmarkStart w:id="903" w:name="_Toc297216209"/>
      <w:r>
        <w:rPr>
          <w:rFonts w:eastAsiaTheme="minorEastAsia"/>
        </w:rPr>
        <w:t>11.1 市场价格波动引起的调整</w:t>
      </w:r>
      <w:bookmarkEnd w:id="887"/>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highlight w:val="none"/>
        </w:rPr>
      </w:pPr>
      <w:r>
        <w:rPr>
          <w:rFonts w:ascii="Times New Roman" w:hAnsi="Times New Roman" w:eastAsiaTheme="minorEastAsia"/>
          <w:color w:val="000000"/>
          <w:kern w:val="0"/>
          <w:sz w:val="24"/>
          <w:szCs w:val="32"/>
        </w:rPr>
        <w:t>市场价格波动是否调整合同价格的约定：</w:t>
      </w:r>
      <w:r>
        <w:rPr>
          <w:rFonts w:hint="eastAsia" w:ascii="Times New Roman" w:hAnsi="Times New Roman" w:eastAsiaTheme="minorEastAsia"/>
          <w:sz w:val="24"/>
          <w:szCs w:val="32"/>
          <w:highlight w:val="none"/>
          <w:u w:val="single"/>
        </w:rPr>
        <w:t>不调整</w:t>
      </w:r>
      <w:r>
        <w:rPr>
          <w:rFonts w:ascii="Times New Roman" w:hAnsi="Times New Roman" w:eastAsiaTheme="minorEastAsia"/>
          <w:sz w:val="24"/>
          <w:szCs w:val="32"/>
          <w:highlight w:val="none"/>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因市场价格波动调整合同价格，采用以下</w:t>
      </w:r>
      <w:r>
        <w:rPr>
          <w:rFonts w:ascii="Times New Roman" w:hAnsi="Times New Roman" w:eastAsiaTheme="minorEastAsia"/>
          <w:sz w:val="24"/>
          <w:szCs w:val="32"/>
        </w:rPr>
        <w:t>第</w:t>
      </w:r>
      <w:r>
        <w:rPr>
          <w:rFonts w:ascii="Times New Roman" w:hAnsi="Times New Roman" w:eastAsiaTheme="minorEastAsia"/>
          <w:sz w:val="24"/>
          <w:szCs w:val="32"/>
          <w:u w:val="single"/>
        </w:rPr>
        <w:t xml:space="preserve">  </w:t>
      </w:r>
      <w:r>
        <w:rPr>
          <w:rFonts w:hint="eastAsia" w:ascii="Times New Roman" w:hAnsi="Times New Roman" w:eastAsiaTheme="minorEastAsia"/>
          <w:sz w:val="24"/>
          <w:szCs w:val="32"/>
          <w:u w:val="single"/>
          <w:lang w:val="en-US" w:eastAsia="zh-CN"/>
        </w:rPr>
        <w:t>/</w:t>
      </w:r>
      <w:r>
        <w:rPr>
          <w:rFonts w:ascii="Times New Roman" w:hAnsi="Times New Roman" w:eastAsiaTheme="minorEastAsia"/>
          <w:sz w:val="24"/>
          <w:szCs w:val="32"/>
          <w:u w:val="single"/>
        </w:rPr>
        <w:t xml:space="preserve">  </w:t>
      </w:r>
      <w:r>
        <w:rPr>
          <w:rFonts w:ascii="Times New Roman" w:hAnsi="Times New Roman" w:eastAsiaTheme="minorEastAsia"/>
          <w:color w:val="000000"/>
          <w:sz w:val="24"/>
          <w:szCs w:val="32"/>
        </w:rPr>
        <w:t>种方式对合同价格进行调整：</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第1种方式：采用价格指数</w:t>
      </w:r>
      <w:r>
        <w:rPr>
          <w:rFonts w:hint="eastAsia" w:ascii="Times New Roman" w:hAnsi="Times New Roman" w:eastAsiaTheme="minorEastAsia"/>
          <w:color w:val="000000"/>
          <w:sz w:val="24"/>
          <w:szCs w:val="32"/>
        </w:rPr>
        <w:t>进行价格</w:t>
      </w:r>
      <w:r>
        <w:rPr>
          <w:rFonts w:ascii="Times New Roman" w:hAnsi="Times New Roman" w:eastAsiaTheme="minorEastAsia"/>
          <w:color w:val="000000"/>
          <w:sz w:val="24"/>
          <w:szCs w:val="32"/>
        </w:rPr>
        <w:t>调整。</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关于各可调因子、定值和变值权重，以及基本价格指数及其来源的约定：</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highlight w:val="none"/>
        </w:rPr>
      </w:pPr>
      <w:r>
        <w:rPr>
          <w:rFonts w:ascii="Times New Roman" w:hAnsi="Times New Roman" w:eastAsiaTheme="minorEastAsia"/>
          <w:color w:val="000000"/>
          <w:sz w:val="24"/>
          <w:szCs w:val="32"/>
          <w:highlight w:val="none"/>
        </w:rPr>
        <w:t>第2种方式：采用造价信息</w:t>
      </w:r>
      <w:r>
        <w:rPr>
          <w:rFonts w:hint="eastAsia" w:ascii="Times New Roman" w:hAnsi="Times New Roman" w:eastAsiaTheme="minorEastAsia"/>
          <w:color w:val="000000"/>
          <w:sz w:val="24"/>
          <w:szCs w:val="32"/>
          <w:highlight w:val="none"/>
        </w:rPr>
        <w:t>进行价格</w:t>
      </w:r>
      <w:r>
        <w:rPr>
          <w:rFonts w:ascii="Times New Roman" w:hAnsi="Times New Roman" w:eastAsiaTheme="minorEastAsia"/>
          <w:color w:val="000000"/>
          <w:sz w:val="24"/>
          <w:szCs w:val="32"/>
          <w:highlight w:val="none"/>
        </w:rPr>
        <w:t>调整。</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highlight w:val="none"/>
        </w:rPr>
      </w:pPr>
      <w:r>
        <w:rPr>
          <w:rFonts w:ascii="Times New Roman" w:hAnsi="Times New Roman" w:eastAsiaTheme="minorEastAsia"/>
          <w:color w:val="000000"/>
          <w:sz w:val="24"/>
          <w:szCs w:val="32"/>
          <w:highlight w:val="none"/>
        </w:rPr>
        <w:t>（2）关于基准价格的约定：</w:t>
      </w:r>
      <w:r>
        <w:rPr>
          <w:rFonts w:ascii="Times New Roman" w:hAnsi="Times New Roman" w:eastAsiaTheme="minorEastAsia"/>
          <w:sz w:val="24"/>
          <w:szCs w:val="32"/>
          <w:highlight w:val="none"/>
          <w:u w:val="single"/>
        </w:rPr>
        <w:t xml:space="preserve">      </w:t>
      </w:r>
      <w:r>
        <w:rPr>
          <w:rFonts w:hint="eastAsia" w:ascii="Times New Roman" w:hAnsi="Times New Roman" w:eastAsiaTheme="minorEastAsia"/>
          <w:sz w:val="24"/>
          <w:szCs w:val="32"/>
          <w:highlight w:val="none"/>
          <w:u w:val="single"/>
        </w:rPr>
        <w:t>基准日的确定</w:t>
      </w:r>
      <w:r>
        <w:rPr>
          <w:rFonts w:ascii="Times New Roman" w:hAnsi="Times New Roman" w:eastAsiaTheme="minorEastAsia"/>
          <w:sz w:val="24"/>
          <w:szCs w:val="32"/>
          <w:highlight w:val="none"/>
          <w:u w:val="single"/>
        </w:rPr>
        <w:t xml:space="preserve">           </w:t>
      </w:r>
      <w:r>
        <w:rPr>
          <w:rFonts w:ascii="Times New Roman" w:hAnsi="Times New Roman" w:eastAsiaTheme="minorEastAsia"/>
          <w:sz w:val="24"/>
          <w:szCs w:val="32"/>
          <w:highlight w:val="none"/>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highlight w:val="none"/>
        </w:rPr>
      </w:pPr>
      <w:r>
        <w:rPr>
          <w:rFonts w:hint="eastAsia" w:ascii="宋体" w:hAnsi="宋体" w:cs="宋体" w:eastAsiaTheme="minorEastAsia"/>
          <w:color w:val="000000"/>
          <w:sz w:val="24"/>
          <w:szCs w:val="32"/>
          <w:highlight w:val="none"/>
        </w:rPr>
        <w:t>①</w:t>
      </w:r>
      <w:r>
        <w:rPr>
          <w:rFonts w:ascii="Times New Roman" w:hAnsi="Times New Roman" w:eastAsiaTheme="minorEastAsia"/>
          <w:color w:val="000000"/>
          <w:sz w:val="24"/>
          <w:szCs w:val="32"/>
          <w:highlight w:val="none"/>
        </w:rPr>
        <w:t>承包人在已标价工程量清单或预算书中载明的材料单价低于基准价格的：专用合同条款合同履行期间材料单价涨幅以基准价格为基础超过</w:t>
      </w:r>
      <w:r>
        <w:rPr>
          <w:rFonts w:hint="eastAsia" w:ascii="Times New Roman" w:hAnsi="Times New Roman" w:eastAsiaTheme="minorEastAsia"/>
          <w:color w:val="000000"/>
          <w:sz w:val="24"/>
          <w:szCs w:val="32"/>
          <w:highlight w:val="none"/>
          <w:u w:val="single"/>
        </w:rPr>
        <w:t>【</w:t>
      </w:r>
      <w:r>
        <w:rPr>
          <w:rFonts w:hint="eastAsia" w:ascii="Times New Roman" w:hAnsi="Times New Roman" w:eastAsiaTheme="minorEastAsia"/>
          <w:color w:val="000000"/>
          <w:sz w:val="24"/>
          <w:szCs w:val="32"/>
          <w:highlight w:val="none"/>
          <w:u w:val="single"/>
          <w:lang w:val="en-US" w:eastAsia="zh-CN"/>
        </w:rPr>
        <w:t>/</w:t>
      </w:r>
      <w:r>
        <w:rPr>
          <w:rFonts w:hint="eastAsia" w:ascii="Times New Roman" w:hAnsi="Times New Roman" w:eastAsiaTheme="minorEastAsia"/>
          <w:color w:val="000000"/>
          <w:sz w:val="24"/>
          <w:szCs w:val="32"/>
          <w:highlight w:val="none"/>
          <w:u w:val="single"/>
        </w:rPr>
        <w:t>】</w:t>
      </w:r>
      <w:r>
        <w:rPr>
          <w:rFonts w:ascii="Times New Roman" w:hAnsi="Times New Roman" w:eastAsiaTheme="minorEastAsia"/>
          <w:color w:val="000000"/>
          <w:sz w:val="24"/>
          <w:szCs w:val="32"/>
          <w:highlight w:val="none"/>
        </w:rPr>
        <w:t>%时，或材料单价跌幅以已标价工程量清单或预算书中载明材料单价为基础超过</w:t>
      </w:r>
      <w:r>
        <w:rPr>
          <w:rFonts w:hint="eastAsia" w:ascii="Times New Roman" w:hAnsi="Times New Roman" w:eastAsiaTheme="minorEastAsia"/>
          <w:color w:val="000000"/>
          <w:sz w:val="24"/>
          <w:szCs w:val="32"/>
          <w:highlight w:val="none"/>
          <w:u w:val="single"/>
        </w:rPr>
        <w:t>【</w:t>
      </w:r>
      <w:r>
        <w:rPr>
          <w:rFonts w:hint="eastAsia" w:ascii="Times New Roman" w:hAnsi="Times New Roman" w:eastAsiaTheme="minorEastAsia"/>
          <w:color w:val="000000"/>
          <w:sz w:val="24"/>
          <w:szCs w:val="32"/>
          <w:highlight w:val="none"/>
          <w:u w:val="single"/>
          <w:lang w:val="en-US" w:eastAsia="zh-CN"/>
        </w:rPr>
        <w:t>/</w:t>
      </w:r>
      <w:r>
        <w:rPr>
          <w:rFonts w:hint="eastAsia" w:ascii="Times New Roman" w:hAnsi="Times New Roman" w:eastAsiaTheme="minorEastAsia"/>
          <w:color w:val="000000"/>
          <w:sz w:val="24"/>
          <w:szCs w:val="32"/>
          <w:highlight w:val="none"/>
          <w:u w:val="single"/>
        </w:rPr>
        <w:t>】</w:t>
      </w:r>
      <w:r>
        <w:rPr>
          <w:rFonts w:ascii="Times New Roman" w:hAnsi="Times New Roman" w:eastAsiaTheme="minorEastAsia"/>
          <w:color w:val="000000"/>
          <w:sz w:val="24"/>
          <w:szCs w:val="32"/>
          <w:highlight w:val="none"/>
        </w:rPr>
        <w:t>%时，其超过部分据实调整。</w:t>
      </w:r>
      <w:r>
        <w:rPr>
          <w:rFonts w:hint="eastAsia" w:ascii="Times New Roman" w:hAnsi="Times New Roman" w:eastAsiaTheme="minorEastAsia"/>
          <w:color w:val="000000"/>
          <w:sz w:val="24"/>
          <w:szCs w:val="32"/>
          <w:highlight w:val="none"/>
        </w:rPr>
        <w:t>（主材等）</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highlight w:val="none"/>
        </w:rPr>
      </w:pPr>
      <w:r>
        <w:rPr>
          <w:rFonts w:hint="eastAsia" w:ascii="宋体" w:hAnsi="宋体" w:cs="宋体" w:eastAsiaTheme="minorEastAsia"/>
          <w:color w:val="000000"/>
          <w:sz w:val="24"/>
          <w:szCs w:val="32"/>
          <w:highlight w:val="none"/>
        </w:rPr>
        <w:t>②</w:t>
      </w:r>
      <w:r>
        <w:rPr>
          <w:rFonts w:ascii="Times New Roman" w:hAnsi="Times New Roman" w:eastAsiaTheme="minorEastAsia"/>
          <w:color w:val="000000"/>
          <w:sz w:val="24"/>
          <w:szCs w:val="32"/>
          <w:highlight w:val="none"/>
        </w:rPr>
        <w:t>承包人在已标价工程量清单或预算书中载明的材料单价高于基准价格的：专用合同条款合同履行期间材料单价跌幅以基准价格为基础超过</w:t>
      </w:r>
      <w:r>
        <w:rPr>
          <w:rFonts w:ascii="Times New Roman" w:hAnsi="Times New Roman" w:eastAsiaTheme="minorEastAsia"/>
          <w:color w:val="000000"/>
          <w:sz w:val="24"/>
          <w:szCs w:val="32"/>
          <w:highlight w:val="none"/>
          <w:u w:val="single"/>
        </w:rPr>
        <w:t xml:space="preserve"> </w:t>
      </w:r>
      <w:r>
        <w:rPr>
          <w:rFonts w:hint="eastAsia" w:ascii="Times New Roman" w:hAnsi="Times New Roman" w:eastAsiaTheme="minorEastAsia"/>
          <w:color w:val="000000"/>
          <w:sz w:val="24"/>
          <w:szCs w:val="32"/>
          <w:highlight w:val="none"/>
          <w:u w:val="single"/>
          <w:lang w:val="en-US" w:eastAsia="zh-CN"/>
        </w:rPr>
        <w:t>/</w:t>
      </w:r>
      <w:r>
        <w:rPr>
          <w:rFonts w:ascii="Times New Roman" w:hAnsi="Times New Roman" w:eastAsiaTheme="minorEastAsia"/>
          <w:color w:val="000000"/>
          <w:sz w:val="24"/>
          <w:szCs w:val="32"/>
          <w:highlight w:val="none"/>
          <w:u w:val="single"/>
        </w:rPr>
        <w:t xml:space="preserve">  </w:t>
      </w:r>
      <w:r>
        <w:rPr>
          <w:rFonts w:ascii="Times New Roman" w:hAnsi="Times New Roman" w:eastAsiaTheme="minorEastAsia"/>
          <w:color w:val="000000"/>
          <w:sz w:val="24"/>
          <w:szCs w:val="32"/>
          <w:highlight w:val="none"/>
        </w:rPr>
        <w:t>%时，材料单价涨幅以已标价工程量清单或预算书中载明材料单价为基础超过</w:t>
      </w:r>
      <w:r>
        <w:rPr>
          <w:rFonts w:ascii="Times New Roman" w:hAnsi="Times New Roman" w:eastAsiaTheme="minorEastAsia"/>
          <w:color w:val="000000"/>
          <w:sz w:val="24"/>
          <w:szCs w:val="32"/>
          <w:highlight w:val="none"/>
          <w:u w:val="single"/>
        </w:rPr>
        <w:t xml:space="preserve">  </w:t>
      </w:r>
      <w:r>
        <w:rPr>
          <w:rFonts w:hint="eastAsia" w:ascii="Times New Roman" w:hAnsi="Times New Roman" w:eastAsiaTheme="minorEastAsia"/>
          <w:color w:val="000000"/>
          <w:sz w:val="24"/>
          <w:szCs w:val="32"/>
          <w:highlight w:val="none"/>
          <w:u w:val="single"/>
          <w:lang w:val="en-US" w:eastAsia="zh-CN"/>
        </w:rPr>
        <w:t>/</w:t>
      </w:r>
      <w:r>
        <w:rPr>
          <w:rFonts w:ascii="Times New Roman" w:hAnsi="Times New Roman" w:eastAsiaTheme="minorEastAsia"/>
          <w:color w:val="000000"/>
          <w:sz w:val="24"/>
          <w:szCs w:val="32"/>
          <w:highlight w:val="none"/>
          <w:u w:val="single"/>
        </w:rPr>
        <w:t xml:space="preserve"> </w:t>
      </w:r>
      <w:r>
        <w:rPr>
          <w:rFonts w:ascii="Times New Roman" w:hAnsi="Times New Roman" w:eastAsiaTheme="minorEastAsia"/>
          <w:color w:val="000000"/>
          <w:sz w:val="24"/>
          <w:szCs w:val="32"/>
          <w:highlight w:val="none"/>
        </w:rPr>
        <w:t>%时，其超过部分据实调整。</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auto"/>
          <w:sz w:val="24"/>
          <w:szCs w:val="32"/>
        </w:rPr>
      </w:pPr>
      <w:r>
        <w:rPr>
          <w:rFonts w:hint="eastAsia" w:ascii="宋体" w:hAnsi="宋体" w:cs="宋体" w:eastAsiaTheme="minorEastAsia"/>
          <w:color w:val="000000"/>
          <w:sz w:val="24"/>
          <w:szCs w:val="32"/>
        </w:rPr>
        <w:t>③</w:t>
      </w:r>
      <w:r>
        <w:rPr>
          <w:rFonts w:ascii="Times New Roman" w:hAnsi="Times New Roman" w:eastAsiaTheme="minorEastAsia"/>
          <w:color w:val="000000"/>
          <w:sz w:val="24"/>
          <w:szCs w:val="32"/>
        </w:rPr>
        <w:t>承包人在已标价工程量清单或预算书中载明的材料单价等于基准单价的：</w:t>
      </w:r>
      <w:r>
        <w:rPr>
          <w:rFonts w:ascii="Times New Roman" w:hAnsi="Times New Roman" w:eastAsiaTheme="minorEastAsia"/>
          <w:color w:val="auto"/>
          <w:sz w:val="24"/>
          <w:szCs w:val="32"/>
        </w:rPr>
        <w:t>专用合同条款合同履行期间材料单价涨跌幅以基准单价为基础超过±</w:t>
      </w:r>
      <w:r>
        <w:rPr>
          <w:rFonts w:ascii="Times New Roman" w:hAnsi="Times New Roman" w:eastAsiaTheme="minorEastAsia"/>
          <w:color w:val="auto"/>
          <w:sz w:val="24"/>
          <w:szCs w:val="32"/>
          <w:u w:val="single"/>
        </w:rPr>
        <w:t xml:space="preserve"> </w:t>
      </w:r>
      <w:r>
        <w:rPr>
          <w:rFonts w:hint="eastAsia" w:ascii="Times New Roman" w:hAnsi="Times New Roman" w:eastAsiaTheme="minorEastAsia"/>
          <w:color w:val="auto"/>
          <w:sz w:val="24"/>
          <w:szCs w:val="32"/>
          <w:u w:val="single"/>
          <w:lang w:val="en-US" w:eastAsia="zh-CN"/>
        </w:rPr>
        <w:t>/</w:t>
      </w:r>
      <w:r>
        <w:rPr>
          <w:rFonts w:ascii="Times New Roman" w:hAnsi="Times New Roman" w:eastAsiaTheme="minorEastAsia"/>
          <w:color w:val="auto"/>
          <w:sz w:val="24"/>
          <w:szCs w:val="32"/>
          <w:u w:val="single"/>
        </w:rPr>
        <w:t xml:space="preserve">  </w:t>
      </w:r>
      <w:r>
        <w:rPr>
          <w:rFonts w:ascii="Times New Roman" w:hAnsi="Times New Roman" w:eastAsiaTheme="minorEastAsia"/>
          <w:color w:val="auto"/>
          <w:sz w:val="24"/>
          <w:szCs w:val="32"/>
        </w:rPr>
        <w:t>%时，其超过部分据实调整。</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第3种方式：其他价格调整方式：</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bookmarkEnd w:id="784"/>
    <w:bookmarkEnd w:id="785"/>
    <w:bookmarkEnd w:id="786"/>
    <w:bookmarkEnd w:id="787"/>
    <w:bookmarkEnd w:id="788"/>
    <w:bookmarkEnd w:id="789"/>
    <w:p>
      <w:pPr>
        <w:pStyle w:val="4"/>
        <w:bidi w:val="0"/>
        <w:spacing w:line="480" w:lineRule="exact"/>
        <w:ind w:firstLine="480" w:firstLineChars="200"/>
        <w:rPr>
          <w:rFonts w:eastAsiaTheme="minorEastAsia"/>
        </w:rPr>
      </w:pPr>
      <w:bookmarkStart w:id="904" w:name="_Toc296347204"/>
      <w:bookmarkStart w:id="905" w:name="_Toc296891245"/>
      <w:bookmarkStart w:id="906" w:name="_Toc296944544"/>
      <w:bookmarkStart w:id="907" w:name="_Toc292559410"/>
      <w:bookmarkStart w:id="908" w:name="_Toc292559915"/>
      <w:bookmarkStart w:id="909" w:name="_Toc297048391"/>
      <w:bookmarkStart w:id="910" w:name="_Toc297120505"/>
      <w:bookmarkStart w:id="911" w:name="_Toc296503205"/>
      <w:bookmarkStart w:id="912" w:name="_Toc296346706"/>
      <w:bookmarkStart w:id="913" w:name="_Toc296891033"/>
      <w:bookmarkStart w:id="914" w:name="_Toc27121"/>
      <w:bookmarkStart w:id="915" w:name="_Toc297123552"/>
      <w:bookmarkStart w:id="916" w:name="_Toc303539159"/>
      <w:bookmarkStart w:id="917" w:name="_Toc312678040"/>
      <w:bookmarkStart w:id="918" w:name="_Toc300935002"/>
      <w:bookmarkStart w:id="919" w:name="_Toc297216211"/>
      <w:bookmarkStart w:id="920" w:name="_Toc304295579"/>
      <w:r>
        <w:rPr>
          <w:rFonts w:eastAsiaTheme="minorEastAsia"/>
        </w:rPr>
        <w:t xml:space="preserve">12. </w:t>
      </w:r>
      <w:bookmarkEnd w:id="904"/>
      <w:bookmarkEnd w:id="905"/>
      <w:bookmarkEnd w:id="906"/>
      <w:bookmarkEnd w:id="907"/>
      <w:bookmarkEnd w:id="908"/>
      <w:bookmarkEnd w:id="909"/>
      <w:bookmarkEnd w:id="910"/>
      <w:bookmarkEnd w:id="911"/>
      <w:bookmarkEnd w:id="912"/>
      <w:bookmarkEnd w:id="913"/>
      <w:r>
        <w:rPr>
          <w:rFonts w:eastAsiaTheme="minorEastAsia"/>
        </w:rPr>
        <w:t>合同价格、计量与支付</w:t>
      </w:r>
      <w:bookmarkEnd w:id="914"/>
    </w:p>
    <w:bookmarkEnd w:id="915"/>
    <w:bookmarkEnd w:id="916"/>
    <w:bookmarkEnd w:id="917"/>
    <w:bookmarkEnd w:id="918"/>
    <w:bookmarkEnd w:id="919"/>
    <w:bookmarkEnd w:id="920"/>
    <w:p>
      <w:pPr>
        <w:pStyle w:val="5"/>
        <w:bidi w:val="0"/>
        <w:spacing w:line="480" w:lineRule="exact"/>
        <w:ind w:firstLine="480" w:firstLineChars="200"/>
        <w:rPr>
          <w:rFonts w:eastAsiaTheme="minorEastAsia"/>
        </w:rPr>
      </w:pPr>
      <w:bookmarkStart w:id="921" w:name="_Toc292559411"/>
      <w:bookmarkStart w:id="922" w:name="_Toc292559916"/>
      <w:bookmarkStart w:id="923" w:name="_Toc267251461"/>
      <w:bookmarkStart w:id="924" w:name="_Toc296346707"/>
      <w:bookmarkStart w:id="925" w:name="_Toc296347205"/>
      <w:bookmarkStart w:id="926" w:name="_Toc296891246"/>
      <w:bookmarkStart w:id="927" w:name="_Toc297120506"/>
      <w:bookmarkStart w:id="928" w:name="_Toc297048392"/>
      <w:bookmarkStart w:id="929" w:name="_Toc296503206"/>
      <w:bookmarkStart w:id="930" w:name="_Toc296891034"/>
      <w:bookmarkStart w:id="931" w:name="_Toc296944545"/>
      <w:bookmarkStart w:id="932" w:name="_Toc19703"/>
      <w:bookmarkStart w:id="933" w:name="_Toc297123553"/>
      <w:bookmarkStart w:id="934" w:name="_Toc297216212"/>
      <w:bookmarkStart w:id="935" w:name="_Toc312678041"/>
      <w:bookmarkStart w:id="936" w:name="_Toc304295580"/>
      <w:bookmarkStart w:id="937" w:name="_Toc300935003"/>
      <w:bookmarkStart w:id="938" w:name="_Toc303539160"/>
      <w:r>
        <w:rPr>
          <w:rFonts w:eastAsiaTheme="minorEastAsia"/>
        </w:rPr>
        <w:t>12.1 合</w:t>
      </w:r>
      <w:bookmarkEnd w:id="921"/>
      <w:bookmarkEnd w:id="922"/>
      <w:bookmarkEnd w:id="923"/>
      <w:r>
        <w:rPr>
          <w:rFonts w:eastAsiaTheme="minorEastAsia"/>
        </w:rPr>
        <w:t>同价</w:t>
      </w:r>
      <w:bookmarkEnd w:id="924"/>
      <w:bookmarkEnd w:id="925"/>
      <w:bookmarkEnd w:id="926"/>
      <w:bookmarkEnd w:id="927"/>
      <w:bookmarkEnd w:id="928"/>
      <w:bookmarkEnd w:id="929"/>
      <w:bookmarkEnd w:id="930"/>
      <w:bookmarkEnd w:id="931"/>
      <w:r>
        <w:rPr>
          <w:rFonts w:eastAsiaTheme="minorEastAsia"/>
        </w:rPr>
        <w:t>格形式</w:t>
      </w:r>
      <w:bookmarkEnd w:id="932"/>
    </w:p>
    <w:bookmarkEnd w:id="933"/>
    <w:bookmarkEnd w:id="934"/>
    <w:bookmarkEnd w:id="935"/>
    <w:bookmarkEnd w:id="936"/>
    <w:bookmarkEnd w:id="937"/>
    <w:bookmarkEnd w:id="938"/>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1、单价合同。</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综合单价包含的风险范围：</w:t>
      </w:r>
      <w:r>
        <w:rPr>
          <w:rFonts w:hint="eastAsia" w:ascii="Times New Roman" w:hAnsi="Times New Roman" w:eastAsiaTheme="minorEastAsia"/>
          <w:color w:val="000000"/>
          <w:sz w:val="24"/>
          <w:szCs w:val="32"/>
          <w:u w:val="single"/>
        </w:rPr>
        <w:t>工程变更的风险、材料价格的波动风险、税费和保险费用的风险</w:t>
      </w:r>
      <w:r>
        <w:rPr>
          <w:rFonts w:ascii="Times New Roman" w:hAnsi="Times New Roman" w:eastAsiaTheme="minorEastAsia"/>
          <w:color w:val="000000"/>
          <w:sz w:val="24"/>
          <w:szCs w:val="32"/>
        </w:rPr>
        <w:t>风险费用的计算方法：</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风险范围以外合同价格的调整方法：</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与招标清单变动、设计变更以及招标方确认的签证</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 xml:space="preserve"> </w:t>
      </w:r>
      <w:r>
        <w:rPr>
          <w:rFonts w:hint="eastAsia" w:ascii="Times New Roman" w:hAnsi="Times New Roman" w:eastAsiaTheme="minorEastAsia"/>
          <w:color w:val="000000"/>
          <w:sz w:val="24"/>
          <w:szCs w:val="32"/>
          <w:lang w:eastAsia="zh-CN"/>
        </w:rPr>
        <w:t>。</w:t>
      </w:r>
      <w:r>
        <w:rPr>
          <w:rFonts w:ascii="Times New Roman" w:hAnsi="Times New Roman" w:eastAsiaTheme="minorEastAsia"/>
          <w:color w:val="000000"/>
          <w:sz w:val="24"/>
          <w:szCs w:val="32"/>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2、总价合同。</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总价包含的风险范围：</w:t>
      </w:r>
      <w:r>
        <w:rPr>
          <w:rFonts w:hint="eastAsia" w:ascii="Times New Roman" w:hAnsi="Times New Roman" w:eastAsiaTheme="minorEastAsia"/>
          <w:color w:val="000000"/>
          <w:sz w:val="24"/>
          <w:szCs w:val="32"/>
          <w:u w:val="single"/>
        </w:rPr>
        <w:t>包括人工费、材料费、机械费、机械进出场（包括二次进场费）及使用费、工具费、检验试验或检测费、临时设施费、管理（综合）费、竣工资料费、文明施工费、安全措施费、环境保护费、扰民费（如有）、材料价格风险费、政策等其它风险费、场外租赁费（场地或房屋租赁费）、采保费、配合费等施工过程所发生的一切费用、规费、利润、税金（除增值税外的其它企业应缴所有税金，包括个人所得税）、保险及其它所有相关费用，以及按合同应承担的责任、义务、风险等的费用等，无其他需调整因素</w:t>
      </w:r>
      <w:r>
        <w:rPr>
          <w:rFonts w:ascii="Times New Roman" w:hAnsi="Times New Roman" w:eastAsiaTheme="minorEastAsia"/>
          <w:color w:val="000000"/>
          <w:sz w:val="24"/>
          <w:szCs w:val="32"/>
        </w:rPr>
        <w:t>。</w:t>
      </w:r>
      <w:r>
        <w:rPr>
          <w:rFonts w:hint="eastAsia" w:ascii="Times New Roman" w:hAnsi="Times New Roman" w:eastAsiaTheme="minorEastAsia"/>
          <w:color w:val="000000"/>
          <w:sz w:val="24"/>
          <w:szCs w:val="32"/>
        </w:rPr>
        <w:t>（概括）</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风险费用的计算方法：</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风险范围以外合同价格的调整方法：</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widowControl w:val="0"/>
        <w:bidi w:val="0"/>
        <w:spacing w:line="480" w:lineRule="exact"/>
        <w:ind w:firstLine="480" w:firstLineChars="200"/>
        <w:rPr>
          <w:rFonts w:eastAsiaTheme="minorEastAsia"/>
        </w:rPr>
      </w:pPr>
      <w:r>
        <w:rPr>
          <w:rFonts w:ascii="Times New Roman" w:hAnsi="Times New Roman" w:eastAsiaTheme="minorEastAsia"/>
          <w:color w:val="000000"/>
          <w:sz w:val="24"/>
          <w:szCs w:val="32"/>
        </w:rPr>
        <w:t>3、其他价格方式：</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竣工验收合格后，由招标人委托中介机构进行审计，实际工程量减少，扣除相应合同价款，审计费按照国家标准计取</w:t>
      </w:r>
      <w:r>
        <w:rPr>
          <w:rFonts w:hint="eastAsia" w:ascii="Times New Roman" w:hAnsi="Times New Roman" w:eastAsiaTheme="minorEastAsia"/>
          <w:color w:val="000000"/>
          <w:sz w:val="24"/>
          <w:szCs w:val="32"/>
          <w:u w:val="single"/>
          <w:lang w:eastAsia="zh-CN"/>
        </w:rPr>
        <w:t>。</w:t>
      </w:r>
      <w:bookmarkStart w:id="939" w:name="_Toc300935004"/>
      <w:bookmarkStart w:id="940" w:name="_Toc312678042"/>
      <w:bookmarkStart w:id="941" w:name="_Toc303539161"/>
      <w:bookmarkStart w:id="942" w:name="_Toc297123554"/>
      <w:bookmarkStart w:id="943" w:name="_Toc304295581"/>
      <w:bookmarkStart w:id="944" w:name="_Toc297216213"/>
      <w:bookmarkStart w:id="945" w:name="_Toc292559917"/>
      <w:bookmarkStart w:id="946" w:name="_Toc296891247"/>
      <w:bookmarkStart w:id="947" w:name="_Toc296503207"/>
      <w:bookmarkStart w:id="948" w:name="_Toc296347206"/>
      <w:bookmarkStart w:id="949" w:name="_Toc296891035"/>
      <w:bookmarkStart w:id="950" w:name="_Toc297120507"/>
      <w:bookmarkStart w:id="951" w:name="_Toc296346708"/>
      <w:bookmarkStart w:id="952" w:name="_Toc296944546"/>
      <w:bookmarkStart w:id="953" w:name="_Toc292559412"/>
      <w:bookmarkStart w:id="954" w:name="_Toc297048393"/>
    </w:p>
    <w:bookmarkEnd w:id="939"/>
    <w:bookmarkEnd w:id="940"/>
    <w:bookmarkEnd w:id="941"/>
    <w:bookmarkEnd w:id="942"/>
    <w:bookmarkEnd w:id="943"/>
    <w:bookmarkEnd w:id="944"/>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12.2.1 预付款的支付</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预付款支付比例或金额：</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预付款支付期限：</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预付款扣回的方式：</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12.2.2 预付款担保</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承包人提交预付款担保的期限：</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预付款担保的形式为：</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bookmarkEnd w:id="945"/>
    <w:bookmarkEnd w:id="946"/>
    <w:bookmarkEnd w:id="947"/>
    <w:bookmarkEnd w:id="948"/>
    <w:bookmarkEnd w:id="949"/>
    <w:bookmarkEnd w:id="950"/>
    <w:bookmarkEnd w:id="951"/>
    <w:bookmarkEnd w:id="952"/>
    <w:bookmarkEnd w:id="953"/>
    <w:bookmarkEnd w:id="954"/>
    <w:p>
      <w:pPr>
        <w:pStyle w:val="5"/>
        <w:bidi w:val="0"/>
        <w:spacing w:line="480" w:lineRule="exact"/>
        <w:ind w:firstLine="480" w:firstLineChars="200"/>
        <w:rPr>
          <w:rFonts w:eastAsiaTheme="minorEastAsia"/>
        </w:rPr>
      </w:pPr>
      <w:bookmarkStart w:id="955" w:name="_Toc14005"/>
      <w:r>
        <w:rPr>
          <w:rFonts w:eastAsiaTheme="minorEastAsia"/>
        </w:rPr>
        <w:t>12.3 计量</w:t>
      </w:r>
      <w:bookmarkEnd w:id="955"/>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12.3.1 计量原则</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工程量计算规则：</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  承包人应据实呈报结算、变更、签证等，不得虚报浮夸，合同双方就此约定如下：</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工程结算时，经审计，单项工程核减率达 15%（含）以上的，其审计费用由承包人承担；核减率达 10%（含）-15%的，其审计费用由承包人承担 80%，发包人承担 20%；核减率达 5% （含）-10%的，其审计费用由承包人承担 20%，发包人承担 80%；核减率在 5%以下的，审计费用由发包人承担。承包人承担的审计费用由发包人从工程款中扣交。</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（2）  承包人本着对自己利益负责的态度，对自己所编制、上报的变更签证价格、施工图预算或工程竣工结算的少算或漏算负完全责任，承包人在提交施工图预算或工程竣工结算文件后7天内未提出补充文件的，发包人将视其为已综合考虑在其他费用中，一律不再计算，除发包人要求外，承包人以后不得再补充结算资料。</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12.3.2 计量周期</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关于计量周期的约定：</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12.3.3 单价合同的计量</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关于单价合同计量的约定：</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12.3.4 总价合同的计量</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color w:val="000000"/>
          <w:sz w:val="24"/>
          <w:szCs w:val="32"/>
        </w:rPr>
        <w:t>关于总价合同计量的约定：</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12.3.5总价合同采用支付分解表计量支付的，是否适用第</w:t>
      </w:r>
      <w:r>
        <w:rPr>
          <w:rFonts w:ascii="Times New Roman" w:hAnsi="Times New Roman" w:eastAsiaTheme="minorEastAsia"/>
          <w:color w:val="000000"/>
          <w:kern w:val="0"/>
          <w:sz w:val="24"/>
          <w:szCs w:val="32"/>
        </w:rPr>
        <w:t xml:space="preserve">12.3.4 </w:t>
      </w:r>
      <w:r>
        <w:rPr>
          <w:rFonts w:ascii="Times New Roman" w:hAnsi="Times New Roman" w:eastAsiaTheme="minorEastAsia"/>
          <w:color w:val="000000"/>
          <w:sz w:val="24"/>
          <w:szCs w:val="32"/>
        </w:rPr>
        <w:t>项</w:t>
      </w:r>
      <w:r>
        <w:rPr>
          <w:rFonts w:hint="eastAsia" w:ascii="Times New Roman" w:hAnsi="Times New Roman" w:eastAsiaTheme="minorEastAsia"/>
          <w:color w:val="000000"/>
          <w:kern w:val="0"/>
          <w:sz w:val="24"/>
          <w:szCs w:val="32"/>
        </w:rPr>
        <w:t>〔</w:t>
      </w:r>
      <w:r>
        <w:rPr>
          <w:rFonts w:ascii="Times New Roman" w:hAnsi="Times New Roman" w:eastAsiaTheme="minorEastAsia"/>
          <w:color w:val="000000"/>
          <w:kern w:val="0"/>
          <w:sz w:val="24"/>
          <w:szCs w:val="32"/>
        </w:rPr>
        <w:t>总价合同的计量</w:t>
      </w:r>
      <w:r>
        <w:rPr>
          <w:rFonts w:hint="eastAsia" w:ascii="Times New Roman" w:hAnsi="Times New Roman" w:eastAsiaTheme="minorEastAsia"/>
          <w:color w:val="000000"/>
          <w:kern w:val="0"/>
          <w:sz w:val="24"/>
          <w:szCs w:val="32"/>
        </w:rPr>
        <w:t>〕</w:t>
      </w:r>
      <w:r>
        <w:rPr>
          <w:rFonts w:ascii="Times New Roman" w:hAnsi="Times New Roman" w:eastAsiaTheme="minorEastAsia"/>
          <w:color w:val="000000"/>
          <w:sz w:val="24"/>
          <w:szCs w:val="32"/>
        </w:rPr>
        <w:t>约定</w:t>
      </w:r>
      <w:r>
        <w:rPr>
          <w:rFonts w:hint="eastAsia" w:ascii="Times New Roman" w:hAnsi="Times New Roman" w:eastAsiaTheme="minorEastAsia"/>
          <w:color w:val="000000"/>
          <w:sz w:val="24"/>
          <w:szCs w:val="32"/>
        </w:rPr>
        <w:t>进行计量：</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12.3.6 其他价格形式合同的计量</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ascii="Times New Roman" w:hAnsi="Times New Roman" w:eastAsiaTheme="minorEastAsia"/>
          <w:color w:val="000000"/>
          <w:sz w:val="24"/>
          <w:szCs w:val="32"/>
        </w:rPr>
        <w:t>其他价格形式的计量方式和程序：</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956" w:name="_Toc27770"/>
      <w:r>
        <w:rPr>
          <w:rFonts w:eastAsiaTheme="minorEastAsia"/>
        </w:rPr>
        <w:t>12.4 工程进度款支付</w:t>
      </w:r>
      <w:bookmarkEnd w:id="956"/>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bookmarkStart w:id="957" w:name="_Toc292559416"/>
      <w:bookmarkStart w:id="958" w:name="_Toc297120511"/>
      <w:bookmarkStart w:id="959" w:name="_Toc296503211"/>
      <w:bookmarkStart w:id="960" w:name="_Toc297216215"/>
      <w:bookmarkStart w:id="961" w:name="_Toc296891251"/>
      <w:bookmarkStart w:id="962" w:name="_Toc296346712"/>
      <w:bookmarkStart w:id="963" w:name="_Toc296891039"/>
      <w:bookmarkStart w:id="964" w:name="_Toc292559921"/>
      <w:bookmarkStart w:id="965" w:name="_Toc297123556"/>
      <w:bookmarkStart w:id="966" w:name="_Toc300935006"/>
      <w:bookmarkStart w:id="967" w:name="_Toc296347210"/>
      <w:bookmarkStart w:id="968" w:name="_Toc297048397"/>
      <w:bookmarkStart w:id="969" w:name="_Toc296944550"/>
      <w:bookmarkStart w:id="970" w:name="_Toc303539163"/>
      <w:r>
        <w:rPr>
          <w:rFonts w:ascii="Times New Roman" w:hAnsi="Times New Roman" w:eastAsiaTheme="minorEastAsia"/>
          <w:color w:val="000000"/>
          <w:sz w:val="24"/>
          <w:szCs w:val="32"/>
        </w:rPr>
        <w:t>12.4.1 付款周期</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付款周期要求：</w:t>
      </w:r>
      <w:r>
        <w:rPr>
          <w:rFonts w:hint="eastAsia" w:ascii="Times New Roman" w:hAnsi="Times New Roman" w:eastAsiaTheme="minorEastAsia"/>
          <w:color w:val="000000"/>
          <w:sz w:val="24"/>
          <w:szCs w:val="32"/>
          <w:u w:val="single"/>
          <w:lang w:val="en-US" w:eastAsia="zh-CN"/>
        </w:rPr>
        <w:t>竣工验收合格后付款。</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ascii="Times New Roman" w:hAnsi="Times New Roman" w:eastAsiaTheme="minorEastAsia"/>
          <w:color w:val="000000"/>
          <w:sz w:val="24"/>
          <w:szCs w:val="32"/>
        </w:rPr>
        <w:t>关于付款周期的约定：</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w:t>
      </w:r>
      <w:r>
        <w:rPr>
          <w:rFonts w:hint="eastAsia" w:ascii="Times New Roman" w:hAnsi="Times New Roman" w:eastAsiaTheme="minorEastAsia"/>
          <w:color w:val="000000"/>
          <w:sz w:val="24"/>
          <w:szCs w:val="32"/>
          <w:u w:val="single"/>
          <w:lang w:val="en-US" w:eastAsia="zh-CN"/>
        </w:rPr>
        <w:t>1</w:t>
      </w:r>
      <w:r>
        <w:rPr>
          <w:rFonts w:hint="eastAsia" w:ascii="Times New Roman" w:hAnsi="Times New Roman" w:eastAsiaTheme="minorEastAsia"/>
          <w:color w:val="000000"/>
          <w:sz w:val="24"/>
          <w:szCs w:val="32"/>
          <w:u w:val="single"/>
        </w:rPr>
        <w:t>）工程竣工验收合格后，承包人向发包人提交付款申请，双方办理完毕付款手续后，发包人向承包人支付至</w:t>
      </w:r>
      <w:r>
        <w:rPr>
          <w:rFonts w:hint="eastAsia" w:ascii="Times New Roman" w:hAnsi="Times New Roman" w:eastAsiaTheme="minorEastAsia"/>
          <w:color w:val="000000"/>
          <w:sz w:val="24"/>
          <w:szCs w:val="32"/>
          <w:u w:val="single"/>
          <w:lang w:val="en-US" w:eastAsia="zh-CN"/>
        </w:rPr>
        <w:t>合同总价款</w:t>
      </w:r>
      <w:r>
        <w:rPr>
          <w:rFonts w:hint="eastAsia" w:ascii="Times New Roman" w:hAnsi="Times New Roman" w:eastAsiaTheme="minorEastAsia"/>
          <w:color w:val="000000"/>
          <w:sz w:val="24"/>
          <w:szCs w:val="32"/>
          <w:u w:val="single"/>
        </w:rPr>
        <w:t>的【</w:t>
      </w:r>
      <w:r>
        <w:rPr>
          <w:rFonts w:hint="eastAsia" w:ascii="Times New Roman" w:hAnsi="Times New Roman" w:eastAsiaTheme="minorEastAsia"/>
          <w:color w:val="000000"/>
          <w:sz w:val="24"/>
          <w:szCs w:val="32"/>
          <w:u w:val="single"/>
          <w:lang w:val="en-US" w:eastAsia="zh-CN"/>
        </w:rPr>
        <w:t>70</w:t>
      </w:r>
      <w:r>
        <w:rPr>
          <w:rFonts w:hint="eastAsia" w:ascii="Times New Roman" w:hAnsi="Times New Roman" w:eastAsiaTheme="minorEastAsia"/>
          <w:color w:val="000000"/>
          <w:sz w:val="24"/>
          <w:szCs w:val="32"/>
          <w:u w:val="single"/>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）竣工结算</w:t>
      </w:r>
      <w:r>
        <w:rPr>
          <w:rFonts w:hint="eastAsia" w:ascii="Times New Roman" w:hAnsi="Times New Roman" w:eastAsiaTheme="minorEastAsia"/>
          <w:color w:val="000000"/>
          <w:sz w:val="24"/>
          <w:szCs w:val="32"/>
          <w:u w:val="single"/>
          <w:lang w:val="en-US" w:eastAsia="zh-CN"/>
        </w:rPr>
        <w:t>审计</w:t>
      </w:r>
      <w:r>
        <w:rPr>
          <w:rFonts w:hint="eastAsia" w:ascii="Times New Roman" w:hAnsi="Times New Roman" w:eastAsiaTheme="minorEastAsia"/>
          <w:color w:val="000000"/>
          <w:sz w:val="24"/>
          <w:szCs w:val="32"/>
          <w:u w:val="single"/>
        </w:rPr>
        <w:t>完成后，承包人向发包人提交付款申请，双方办理完毕付款手续后，发包人向承包人支付至</w:t>
      </w:r>
      <w:r>
        <w:rPr>
          <w:rFonts w:hint="eastAsia" w:ascii="Times New Roman" w:hAnsi="Times New Roman" w:eastAsiaTheme="minorEastAsia"/>
          <w:color w:val="000000"/>
          <w:sz w:val="24"/>
          <w:szCs w:val="32"/>
          <w:u w:val="single"/>
          <w:lang w:val="en-US" w:eastAsia="zh-CN"/>
        </w:rPr>
        <w:t>结算总结</w:t>
      </w:r>
      <w:r>
        <w:rPr>
          <w:rFonts w:hint="eastAsia" w:ascii="Times New Roman" w:hAnsi="Times New Roman" w:eastAsiaTheme="minorEastAsia"/>
          <w:color w:val="000000"/>
          <w:sz w:val="24"/>
          <w:szCs w:val="32"/>
          <w:u w:val="single"/>
        </w:rPr>
        <w:t>的97%，余3%为质量保证金。</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w:t>
      </w:r>
      <w:r>
        <w:rPr>
          <w:rFonts w:hint="eastAsia" w:ascii="Times New Roman" w:hAnsi="Times New Roman" w:eastAsiaTheme="minorEastAsia"/>
          <w:color w:val="000000"/>
          <w:sz w:val="24"/>
          <w:szCs w:val="32"/>
          <w:u w:val="single"/>
          <w:lang w:val="en-US" w:eastAsia="zh-CN"/>
        </w:rPr>
        <w:t>3</w:t>
      </w:r>
      <w:r>
        <w:rPr>
          <w:rFonts w:hint="eastAsia" w:ascii="Times New Roman" w:hAnsi="Times New Roman" w:eastAsiaTheme="minorEastAsia"/>
          <w:color w:val="000000"/>
          <w:sz w:val="24"/>
          <w:szCs w:val="32"/>
          <w:u w:val="single"/>
        </w:rPr>
        <w:t>）工程缺陷责任期满后，承包人向发包人提交付款申请，双方办理完毕付款手续后，发包人扣除乙方应承担的保修费用后一次性付清剩余质量保证金及其增值税（无息）；</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w:t>
      </w:r>
      <w:r>
        <w:rPr>
          <w:rFonts w:hint="eastAsia" w:ascii="Times New Roman" w:hAnsi="Times New Roman" w:eastAsiaTheme="minorEastAsia"/>
          <w:color w:val="000000"/>
          <w:sz w:val="24"/>
          <w:szCs w:val="32"/>
          <w:u w:val="single"/>
          <w:lang w:val="en-US" w:eastAsia="zh-CN"/>
        </w:rPr>
        <w:t>4</w:t>
      </w:r>
      <w:r>
        <w:rPr>
          <w:rFonts w:hint="eastAsia" w:ascii="Times New Roman" w:hAnsi="Times New Roman" w:eastAsiaTheme="minorEastAsia"/>
          <w:color w:val="000000"/>
          <w:sz w:val="24"/>
          <w:szCs w:val="32"/>
          <w:u w:val="single"/>
        </w:rPr>
        <w:t>）承包人在完成每次结算后、付款前，须在付款前提供本次结算全额增值税专用发票，否则发包人有权拒绝付款。</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w:t>
      </w:r>
      <w:r>
        <w:rPr>
          <w:rFonts w:hint="eastAsia" w:ascii="Times New Roman" w:hAnsi="Times New Roman" w:eastAsiaTheme="minorEastAsia"/>
          <w:color w:val="000000"/>
          <w:sz w:val="24"/>
          <w:szCs w:val="32"/>
          <w:u w:val="single"/>
          <w:lang w:val="en-US" w:eastAsia="zh-CN"/>
        </w:rPr>
        <w:t>5</w:t>
      </w:r>
      <w:r>
        <w:rPr>
          <w:rFonts w:hint="eastAsia" w:ascii="Times New Roman" w:hAnsi="Times New Roman" w:eastAsiaTheme="minorEastAsia"/>
          <w:color w:val="000000"/>
          <w:sz w:val="24"/>
          <w:szCs w:val="32"/>
          <w:u w:val="single"/>
        </w:rPr>
        <w:t>）关于增值税的约定如下：</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①本合同约定的增值税率为承包人开具增值税专用发票或普通发票的税率，实际税率根据国家最新文件进行动态调整。本条款约定的增值税额为按国家增值税相关规定开具增值税发票税额，此税额不代表本合同执行中承包人实际缴纳的增值税额；如因承包人管理不当所造成的损益均由承包人自行承担。</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②承包人开具的增值税专用发票须符合国家税务管理机构相关规定及要求，如承包人开具的发票错误、不规范、不能通过税务机构认证等情况，承包人须配合发包人于【</w:t>
      </w:r>
      <w:r>
        <w:rPr>
          <w:rFonts w:hint="eastAsia" w:ascii="Times New Roman" w:hAnsi="Times New Roman" w:eastAsiaTheme="minorEastAsia"/>
          <w:color w:val="000000"/>
          <w:sz w:val="24"/>
          <w:szCs w:val="32"/>
          <w:u w:val="single"/>
          <w:lang w:val="en-US" w:eastAsia="zh-CN"/>
        </w:rPr>
        <w:t>3</w:t>
      </w:r>
      <w:r>
        <w:rPr>
          <w:rFonts w:hint="eastAsia" w:ascii="Times New Roman" w:hAnsi="Times New Roman" w:eastAsiaTheme="minorEastAsia"/>
          <w:color w:val="000000"/>
          <w:sz w:val="24"/>
          <w:szCs w:val="32"/>
          <w:u w:val="single"/>
        </w:rPr>
        <w:t xml:space="preserve"> 】天内完成换票工作，因此情况导致付款延迟造成的损失由承包人承担；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③承包人开具增值税专用发票后须于付款前【</w:t>
      </w:r>
      <w:r>
        <w:rPr>
          <w:rFonts w:hint="eastAsia" w:ascii="Times New Roman" w:hAnsi="Times New Roman" w:eastAsiaTheme="minorEastAsia"/>
          <w:color w:val="000000"/>
          <w:sz w:val="24"/>
          <w:szCs w:val="32"/>
          <w:u w:val="single"/>
          <w:lang w:val="en-US" w:eastAsia="zh-CN"/>
        </w:rPr>
        <w:t>3</w:t>
      </w:r>
      <w:r>
        <w:rPr>
          <w:rFonts w:hint="eastAsia" w:ascii="Times New Roman" w:hAnsi="Times New Roman" w:eastAsiaTheme="minorEastAsia"/>
          <w:color w:val="000000"/>
          <w:sz w:val="24"/>
          <w:szCs w:val="32"/>
          <w:u w:val="single"/>
        </w:rPr>
        <w:t xml:space="preserve"> 】天内开具并送达发包人授权的增值税专用发票负责人；</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④发包人授权【姓名：</w:t>
      </w:r>
      <w:r>
        <w:rPr>
          <w:rFonts w:hint="eastAsia" w:ascii="Times New Roman" w:hAnsi="Times New Roman" w:eastAsiaTheme="minorEastAsia"/>
          <w:color w:val="000000"/>
          <w:sz w:val="24"/>
          <w:szCs w:val="32"/>
          <w:u w:val="single"/>
          <w:lang w:val="en-US" w:eastAsia="zh-CN"/>
        </w:rPr>
        <w:t>贾继远</w:t>
      </w:r>
      <w:r>
        <w:rPr>
          <w:rFonts w:hint="eastAsia" w:ascii="Times New Roman" w:hAnsi="Times New Roman" w:eastAsiaTheme="minorEastAsia"/>
          <w:color w:val="000000"/>
          <w:sz w:val="24"/>
          <w:szCs w:val="32"/>
          <w:u w:val="single"/>
        </w:rPr>
        <w:t xml:space="preserve"> ，联系电话：</w:t>
      </w:r>
      <w:r>
        <w:rPr>
          <w:rFonts w:hint="eastAsia" w:ascii="Times New Roman" w:hAnsi="Times New Roman" w:eastAsiaTheme="minorEastAsia"/>
          <w:color w:val="000000"/>
          <w:sz w:val="24"/>
          <w:szCs w:val="32"/>
          <w:u w:val="single"/>
          <w:lang w:val="en-US" w:eastAsia="zh-CN"/>
        </w:rPr>
        <w:t>17865620911</w:t>
      </w:r>
      <w:r>
        <w:rPr>
          <w:rFonts w:hint="eastAsia" w:ascii="Times New Roman" w:hAnsi="Times New Roman" w:eastAsiaTheme="minorEastAsia"/>
          <w:color w:val="000000"/>
          <w:sz w:val="24"/>
          <w:szCs w:val="32"/>
          <w:u w:val="single"/>
        </w:rPr>
        <w:t xml:space="preserve">   】为本合同接收增值税专用发票负责人；承包人须授权【姓名：     ，联系电话：          】为本合同传递增值税专用发票负责人；每次交接增值税专用发票时双方指定负责人均须互相签字确认；双方如遇有授权人员发生变更，须提前【</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 xml:space="preserve"> 】天以书面形式函告对方，否则由此造成的损失及责任由责任方承担；</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 xml:space="preserve">⑤如发承包双方在执行合同过程中涉及重大信息变更，如公司名称、税务登记变更等，应在变更前【 </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】天书面预通知对方拟变更事项，在完成变更后【</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 xml:space="preserve"> 】日内书面告知对方，并提供变更后的书面资料。</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（9）如有发包人垫付的包含在合同价范围内的【安全文明施工措施费、农民工工资保证金、劳保统筹费(劳保基金)或其它费用】，发包人依据交费凭据在支付中全部扣回；</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10）工程变更签证的工程款按《通用合同条款》和《专用合同条款》的第10条所约定的内容严格执行；当期应追加或调减的合同价款必须在支付当期进度款前确认完毕，否则，由此所导致的进度款支付滞延，承包人不能提出疑义和索赔，其追加或调减的合同价款与当期进度款一起同比例支付。</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（11）工程安全、质量达不到国家规范及发包人要求，发包人有权不予以结算及支付。</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（12）每月【</w:t>
      </w:r>
      <w:r>
        <w:rPr>
          <w:rFonts w:hint="eastAsia" w:ascii="Times New Roman" w:hAnsi="Times New Roman" w:eastAsiaTheme="minorEastAsia"/>
          <w:color w:val="000000"/>
          <w:sz w:val="24"/>
          <w:szCs w:val="32"/>
          <w:u w:val="single"/>
          <w:lang w:val="en-US" w:eastAsia="zh-CN"/>
        </w:rPr>
        <w:t>10</w:t>
      </w:r>
      <w:r>
        <w:rPr>
          <w:rFonts w:hint="eastAsia" w:ascii="Times New Roman" w:hAnsi="Times New Roman" w:eastAsiaTheme="minorEastAsia"/>
          <w:color w:val="000000"/>
          <w:sz w:val="24"/>
          <w:szCs w:val="32"/>
          <w:u w:val="single"/>
        </w:rPr>
        <w:t>】日前，承包人将合格的经监理单位审核同意上月已完工程的人工费结算资料提交至发包人</w:t>
      </w:r>
      <w:r>
        <w:rPr>
          <w:rFonts w:ascii="Times New Roman" w:hAnsi="Times New Roman" w:eastAsiaTheme="minorEastAsia"/>
          <w:color w:val="000000"/>
          <w:sz w:val="24"/>
          <w:szCs w:val="32"/>
          <w:u w:val="single"/>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12.4.2 进度付款申请单的编制</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关于进度付款申请单编制的约定：</w:t>
      </w:r>
      <w:r>
        <w:rPr>
          <w:rFonts w:hint="eastAsia" w:ascii="Times New Roman" w:hAnsi="Times New Roman" w:eastAsiaTheme="minorEastAsia"/>
          <w:color w:val="000000"/>
          <w:sz w:val="24"/>
          <w:szCs w:val="32"/>
          <w:u w:val="single"/>
        </w:rPr>
        <w:t>发包人如有模板，按照要求填写</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Pr>
          <w:rFonts w:ascii="Times New Roman" w:hAnsi="Times New Roman" w:eastAsiaTheme="minorEastAsia"/>
          <w:color w:val="000000"/>
          <w:sz w:val="24"/>
          <w:szCs w:val="32"/>
        </w:rPr>
        <w:t>2.4.3 进度付款申请单的提交</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（1）单价合同进度付款申请单提交的约定</w:t>
      </w:r>
      <w:r>
        <w:rPr>
          <w:rFonts w:hint="eastAsia" w:ascii="Times New Roman" w:hAnsi="Times New Roman" w:eastAsiaTheme="minorEastAsia"/>
          <w:color w:val="000000"/>
          <w:sz w:val="24"/>
          <w:szCs w:val="32"/>
        </w:rPr>
        <w:t>：</w:t>
      </w:r>
      <w:r>
        <w:rPr>
          <w:rFonts w:hint="eastAsia" w:ascii="Times New Roman" w:hAnsi="Times New Roman" w:eastAsiaTheme="minorEastAsia"/>
          <w:color w:val="000000"/>
          <w:sz w:val="24"/>
          <w:szCs w:val="32"/>
          <w:u w:val="single"/>
        </w:rPr>
        <w:t>进度结算结果经双方确认后，承包人提交付款申请</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（2）总价合同进度付款申请单提交的约定</w:t>
      </w:r>
      <w:r>
        <w:rPr>
          <w:rFonts w:hint="eastAsia" w:ascii="Times New Roman" w:hAnsi="Times New Roman" w:eastAsiaTheme="minorEastAsia"/>
          <w:color w:val="000000"/>
          <w:sz w:val="24"/>
          <w:szCs w:val="32"/>
        </w:rPr>
        <w:t>：</w:t>
      </w:r>
      <w:r>
        <w:rPr>
          <w:rFonts w:hint="eastAsia" w:ascii="Times New Roman" w:hAnsi="Times New Roman" w:eastAsiaTheme="minorEastAsia"/>
          <w:color w:val="000000"/>
          <w:sz w:val="24"/>
          <w:szCs w:val="32"/>
          <w:u w:val="single"/>
        </w:rPr>
        <w:t>进度结算结果经双方确认后，承包人提交付款申请</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（3）其他价格形式合同进度付款申请单提交的约定：</w:t>
      </w:r>
      <w:r>
        <w:rPr>
          <w:rFonts w:hint="eastAsia" w:ascii="Times New Roman" w:hAnsi="Times New Roman" w:eastAsiaTheme="minorEastAsia"/>
          <w:color w:val="000000"/>
          <w:sz w:val="24"/>
          <w:szCs w:val="32"/>
        </w:rPr>
        <w:t>无</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12.4.4 进度款审核和支付</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（1）监理人审查并报送发包人的期限：</w:t>
      </w:r>
      <w:r>
        <w:rPr>
          <w:rFonts w:hint="eastAsia" w:ascii="Times New Roman" w:hAnsi="Times New Roman" w:eastAsiaTheme="minorEastAsia"/>
          <w:color w:val="000000"/>
          <w:sz w:val="24"/>
          <w:szCs w:val="32"/>
          <w:u w:val="single"/>
        </w:rPr>
        <w:t>【7】天</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发包人完成审批并签发进度款支付证书的期限：</w:t>
      </w:r>
      <w:r>
        <w:rPr>
          <w:rFonts w:hint="eastAsia" w:ascii="Times New Roman" w:hAnsi="Times New Roman" w:eastAsiaTheme="minorEastAsia"/>
          <w:color w:val="000000"/>
          <w:sz w:val="24"/>
          <w:szCs w:val="32"/>
          <w:u w:val="single"/>
        </w:rPr>
        <w:t>按发包人支付审批制度执行</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（2）发包人支付进度款的期限：</w:t>
      </w:r>
      <w:r>
        <w:rPr>
          <w:rFonts w:hint="eastAsia" w:ascii="Times New Roman" w:hAnsi="Times New Roman" w:eastAsiaTheme="minorEastAsia"/>
          <w:color w:val="000000"/>
          <w:sz w:val="24"/>
          <w:szCs w:val="32"/>
          <w:u w:val="single"/>
        </w:rPr>
        <w:t>【28】天</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color w:val="000000"/>
          <w:sz w:val="24"/>
          <w:szCs w:val="32"/>
        </w:rPr>
        <w:t>12.4.6 支付分解表的编制</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2、总价合同支付分解表的编制与审批：</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3、单价合同的总价项目支付分解表的编制与审批：</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bookmarkEnd w:id="790"/>
    <w:p>
      <w:pPr>
        <w:pStyle w:val="4"/>
        <w:bidi w:val="0"/>
        <w:spacing w:line="480" w:lineRule="exact"/>
        <w:ind w:firstLine="480" w:firstLineChars="200"/>
        <w:rPr>
          <w:rFonts w:eastAsiaTheme="minorEastAsia"/>
        </w:rPr>
      </w:pPr>
      <w:bookmarkStart w:id="971" w:name="_Toc8593"/>
      <w:bookmarkStart w:id="972" w:name="_Toc296891259"/>
      <w:bookmarkStart w:id="973" w:name="_Toc297120519"/>
      <w:bookmarkStart w:id="974" w:name="_Toc296503219"/>
      <w:bookmarkStart w:id="975" w:name="_Toc303539172"/>
      <w:bookmarkStart w:id="976" w:name="_Toc292559424"/>
      <w:bookmarkStart w:id="977" w:name="_Toc296346720"/>
      <w:bookmarkStart w:id="978" w:name="_Toc296347218"/>
      <w:bookmarkStart w:id="979" w:name="_Toc312678053"/>
      <w:bookmarkStart w:id="980" w:name="_Toc297216223"/>
      <w:bookmarkStart w:id="981" w:name="_Toc300935015"/>
      <w:bookmarkStart w:id="982" w:name="_Toc296891047"/>
      <w:bookmarkStart w:id="983" w:name="_Toc296944558"/>
      <w:bookmarkStart w:id="984" w:name="_Toc292559929"/>
      <w:bookmarkStart w:id="985" w:name="_Toc304295593"/>
      <w:bookmarkStart w:id="986" w:name="_Toc297123564"/>
      <w:bookmarkStart w:id="987" w:name="_Toc297048405"/>
      <w:r>
        <w:rPr>
          <w:rFonts w:eastAsiaTheme="minorEastAsia"/>
        </w:rPr>
        <w:t>13.</w:t>
      </w:r>
      <w:r>
        <w:rPr>
          <w:rFonts w:hint="eastAsia" w:eastAsiaTheme="minorEastAsia"/>
        </w:rPr>
        <w:t xml:space="preserve"> </w:t>
      </w:r>
      <w:r>
        <w:rPr>
          <w:rFonts w:eastAsiaTheme="minorEastAsia"/>
        </w:rPr>
        <w:t>验收和工程试车</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pStyle w:val="5"/>
        <w:bidi w:val="0"/>
        <w:spacing w:line="480" w:lineRule="exact"/>
        <w:ind w:firstLine="480" w:firstLineChars="200"/>
        <w:rPr>
          <w:rFonts w:eastAsiaTheme="minorEastAsia"/>
        </w:rPr>
      </w:pPr>
      <w:bookmarkStart w:id="988" w:name="_Toc584"/>
      <w:r>
        <w:rPr>
          <w:rFonts w:eastAsiaTheme="minorEastAsia"/>
        </w:rPr>
        <w:t>13.1 分部分项工程验收</w:t>
      </w:r>
      <w:bookmarkEnd w:id="988"/>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13.1.2监理人不能按时进行验收时，应提前</w:t>
      </w:r>
      <w:r>
        <w:rPr>
          <w:rFonts w:hint="eastAsia" w:ascii="Times New Roman" w:hAnsi="Times New Roman" w:eastAsiaTheme="minorEastAsia"/>
          <w:sz w:val="24"/>
          <w:szCs w:val="32"/>
          <w:u w:val="single"/>
        </w:rPr>
        <w:t>【24】</w:t>
      </w:r>
      <w:r>
        <w:rPr>
          <w:rFonts w:ascii="Times New Roman" w:hAnsi="Times New Roman" w:eastAsiaTheme="minorEastAsia"/>
          <w:sz w:val="24"/>
          <w:szCs w:val="32"/>
        </w:rPr>
        <w:t>小时提交书面延期要求。</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b/>
          <w:color w:val="000000"/>
          <w:sz w:val="24"/>
          <w:szCs w:val="32"/>
        </w:rPr>
      </w:pPr>
      <w:r>
        <w:rPr>
          <w:rFonts w:ascii="Times New Roman" w:hAnsi="Times New Roman" w:eastAsiaTheme="minorEastAsia"/>
          <w:sz w:val="24"/>
          <w:szCs w:val="32"/>
        </w:rPr>
        <w:t>关于延期最长不得超过：</w:t>
      </w:r>
      <w:r>
        <w:rPr>
          <w:rFonts w:hint="eastAsia" w:ascii="Times New Roman" w:hAnsi="Times New Roman" w:eastAsiaTheme="minorEastAsia"/>
          <w:sz w:val="24"/>
          <w:szCs w:val="32"/>
          <w:u w:val="single"/>
        </w:rPr>
        <w:t>【48】</w:t>
      </w:r>
      <w:r>
        <w:rPr>
          <w:rFonts w:ascii="Times New Roman" w:hAnsi="Times New Roman" w:eastAsiaTheme="minorEastAsia"/>
          <w:sz w:val="24"/>
          <w:szCs w:val="32"/>
        </w:rPr>
        <w:t>小时。</w:t>
      </w:r>
    </w:p>
    <w:p>
      <w:pPr>
        <w:pStyle w:val="5"/>
        <w:bidi w:val="0"/>
        <w:spacing w:line="480" w:lineRule="exact"/>
        <w:ind w:firstLine="480" w:firstLineChars="200"/>
        <w:rPr>
          <w:rFonts w:eastAsiaTheme="minorEastAsia"/>
        </w:rPr>
      </w:pPr>
      <w:bookmarkStart w:id="989" w:name="_Toc5794"/>
      <w:bookmarkStart w:id="990" w:name="_Toc296944562"/>
      <w:bookmarkStart w:id="991" w:name="_Toc297048409"/>
      <w:bookmarkStart w:id="992" w:name="_Toc297123565"/>
      <w:bookmarkStart w:id="993" w:name="_Toc300935016"/>
      <w:bookmarkStart w:id="994" w:name="_Toc312678056"/>
      <w:bookmarkStart w:id="995" w:name="_Toc297216224"/>
      <w:bookmarkStart w:id="996" w:name="_Toc296891263"/>
      <w:bookmarkStart w:id="997" w:name="_Toc296347222"/>
      <w:bookmarkStart w:id="998" w:name="_Toc296503223"/>
      <w:bookmarkStart w:id="999" w:name="_Toc296346724"/>
      <w:bookmarkStart w:id="1000" w:name="_Toc304295596"/>
      <w:bookmarkStart w:id="1001" w:name="_Toc303539173"/>
      <w:bookmarkStart w:id="1002" w:name="_Toc297120523"/>
      <w:bookmarkStart w:id="1003" w:name="_Toc292559428"/>
      <w:bookmarkStart w:id="1004" w:name="_Toc296891051"/>
      <w:bookmarkStart w:id="1005" w:name="_Toc292559933"/>
      <w:bookmarkStart w:id="1006" w:name="_Toc267251476"/>
      <w:bookmarkStart w:id="1007" w:name="_Toc267251472"/>
      <w:bookmarkStart w:id="1008" w:name="_Toc267251474"/>
      <w:bookmarkStart w:id="1009" w:name="_Toc267251473"/>
      <w:bookmarkStart w:id="1010" w:name="_Toc267251470"/>
      <w:bookmarkStart w:id="1011" w:name="_Toc267251471"/>
      <w:bookmarkStart w:id="1012" w:name="_Toc267251475"/>
      <w:r>
        <w:rPr>
          <w:rFonts w:eastAsiaTheme="minorEastAsia"/>
        </w:rPr>
        <w:t>13.2 竣工验收</w:t>
      </w:r>
      <w:bookmarkEnd w:id="989"/>
    </w:p>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bookmarkStart w:id="1013" w:name="_Toc280868704"/>
      <w:bookmarkStart w:id="1014" w:name="_Toc280868705"/>
      <w:bookmarkStart w:id="1015" w:name="_Toc280868706"/>
      <w:bookmarkStart w:id="1016" w:name="_Toc280868707"/>
      <w:bookmarkStart w:id="1017" w:name="_Toc280868708"/>
      <w:bookmarkStart w:id="1018" w:name="_Toc280868709"/>
      <w:r>
        <w:rPr>
          <w:rFonts w:ascii="Times New Roman" w:hAnsi="Times New Roman" w:eastAsiaTheme="minorEastAsia"/>
          <w:color w:val="000000"/>
          <w:sz w:val="24"/>
          <w:szCs w:val="32"/>
        </w:rPr>
        <w:t>13.2.2竣工验收程序</w:t>
      </w:r>
    </w:p>
    <w:bookmarkEnd w:id="1013"/>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kern w:val="0"/>
          <w:sz w:val="24"/>
          <w:szCs w:val="32"/>
        </w:rPr>
        <w:t>关于竣工验收程序的约定：</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u w:val="single"/>
        </w:rPr>
        <w:t>工程具备验收条件（符合《通用合同条款》第13.2.1条要求），承包人按</w:t>
      </w:r>
      <w:r>
        <w:rPr>
          <w:rFonts w:hint="eastAsia" w:ascii="Times New Roman" w:hAnsi="Times New Roman" w:eastAsiaTheme="minorEastAsia"/>
          <w:color w:val="000000"/>
          <w:sz w:val="24"/>
          <w:szCs w:val="32"/>
          <w:u w:val="single"/>
          <w:lang w:val="en-US" w:eastAsia="zh-CN"/>
        </w:rPr>
        <w:t>相关规定</w:t>
      </w:r>
      <w:r>
        <w:rPr>
          <w:rFonts w:hint="eastAsia" w:ascii="Times New Roman" w:hAnsi="Times New Roman" w:eastAsiaTheme="minorEastAsia"/>
          <w:color w:val="000000"/>
          <w:sz w:val="24"/>
          <w:szCs w:val="32"/>
          <w:u w:val="single"/>
        </w:rPr>
        <w:t>向发包人提供完整竣工资料、验收报告，发包人收到验收报告后14天内给予组织相关单位验收或不予验收的通知。给予验收通知的，应在发包人收到验收报告后28天内组织验收，验收后7天内给予认可或提出书面整改意见；发包人提出书面整改意见的，承包人应按要求整改，并承担由自身原因造成整改的费用。发包人收到承包人送交的竣工验收报告后28天内不组织验收，或验收后7天内不提出修改意见，视为竣工验收报告已被认可；</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发包人不按照本项约定组织竣工验收、颁发工程接收证书的违约金的计算方法：</w:t>
      </w:r>
      <w:r>
        <w:rPr>
          <w:rFonts w:hint="eastAsia" w:ascii="Times New Roman" w:hAnsi="Times New Roman" w:eastAsiaTheme="minorEastAsia"/>
          <w:sz w:val="24"/>
          <w:szCs w:val="32"/>
          <w:u w:val="single"/>
        </w:rPr>
        <w:t>无</w:t>
      </w:r>
      <w:r>
        <w:rPr>
          <w:rFonts w:ascii="Times New Roman" w:hAnsi="Times New Roman" w:eastAsiaTheme="minorEastAsia"/>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13.2.3竣工日期</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sz w:val="24"/>
          <w:szCs w:val="32"/>
        </w:rPr>
      </w:pPr>
      <w:r>
        <w:rPr>
          <w:rFonts w:hint="eastAsia" w:ascii="Times New Roman" w:hAnsi="Times New Roman" w:eastAsiaTheme="minorEastAsia"/>
          <w:sz w:val="24"/>
          <w:szCs w:val="32"/>
        </w:rPr>
        <w:t>发包人验收通过后7天内，发包人向承包人签发验收证书，</w:t>
      </w:r>
      <w:r>
        <w:rPr>
          <w:rFonts w:hint="eastAsia" w:ascii="Times New Roman" w:hAnsi="Times New Roman" w:eastAsiaTheme="minorEastAsia"/>
          <w:sz w:val="24"/>
          <w:szCs w:val="32"/>
          <w:lang w:val="en-US" w:eastAsia="zh-CN"/>
        </w:rPr>
        <w:t>签发</w:t>
      </w:r>
      <w:r>
        <w:rPr>
          <w:rFonts w:hint="eastAsia" w:ascii="Times New Roman" w:hAnsi="Times New Roman" w:eastAsiaTheme="minorEastAsia"/>
          <w:sz w:val="24"/>
          <w:szCs w:val="32"/>
        </w:rPr>
        <w:t>当日视为本工程竣工日期。</w:t>
      </w:r>
    </w:p>
    <w:bookmarkEnd w:id="1014"/>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13.2.5移交、接收全部与部分工程</w:t>
      </w:r>
    </w:p>
    <w:bookmarkEnd w:id="1015"/>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rPr>
      </w:pPr>
      <w:r>
        <w:rPr>
          <w:rFonts w:hint="eastAsia" w:ascii="Times New Roman" w:hAnsi="Times New Roman" w:eastAsiaTheme="minorEastAsia"/>
          <w:color w:val="000000"/>
          <w:kern w:val="0"/>
          <w:sz w:val="24"/>
          <w:szCs w:val="32"/>
        </w:rPr>
        <w:t>承包人向发包人移交工程的期限：</w:t>
      </w:r>
      <w:r>
        <w:rPr>
          <w:rFonts w:hint="eastAsia" w:ascii="Times New Roman" w:hAnsi="Times New Roman" w:eastAsiaTheme="minorEastAsia"/>
          <w:color w:val="000000"/>
          <w:sz w:val="24"/>
          <w:szCs w:val="32"/>
          <w:u w:val="single"/>
          <w:lang w:val="en-US" w:eastAsia="zh-CN"/>
        </w:rPr>
        <w:t>签发验收证书</w:t>
      </w:r>
      <w:r>
        <w:rPr>
          <w:rFonts w:hint="eastAsia" w:ascii="Times New Roman" w:hAnsi="Times New Roman" w:eastAsiaTheme="minorEastAsia"/>
          <w:color w:val="000000"/>
          <w:sz w:val="24"/>
          <w:szCs w:val="32"/>
          <w:u w:val="single"/>
        </w:rPr>
        <w:t>后7天内</w:t>
      </w:r>
      <w:r>
        <w:rPr>
          <w:rFonts w:hint="eastAsia"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kern w:val="0"/>
          <w:sz w:val="24"/>
          <w:szCs w:val="32"/>
        </w:rPr>
        <w:t>发包人未按本合同约定接收全部或部分工程的，违约金的计算方法为：</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bookmarkEnd w:id="1016"/>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承包人未按时移交工程的，违约金的计算方法为：</w:t>
      </w:r>
      <w:r>
        <w:rPr>
          <w:rFonts w:hint="eastAsia" w:ascii="Times New Roman" w:hAnsi="Times New Roman" w:eastAsiaTheme="minorEastAsia"/>
          <w:color w:val="000000"/>
          <w:sz w:val="24"/>
          <w:szCs w:val="32"/>
          <w:u w:val="single"/>
        </w:rPr>
        <w:t>每超过一天，承包人向发包人支付【</w:t>
      </w:r>
      <w:r>
        <w:rPr>
          <w:rFonts w:hint="eastAsia" w:ascii="Times New Roman" w:hAnsi="Times New Roman" w:eastAsiaTheme="minorEastAsia"/>
          <w:color w:val="000000"/>
          <w:sz w:val="24"/>
          <w:szCs w:val="32"/>
          <w:u w:val="single"/>
          <w:lang w:val="en-US" w:eastAsia="zh-CN"/>
        </w:rPr>
        <w:t>1000</w:t>
      </w:r>
      <w:r>
        <w:rPr>
          <w:rFonts w:hint="eastAsia" w:ascii="Times New Roman" w:hAnsi="Times New Roman" w:eastAsiaTheme="minorEastAsia"/>
          <w:color w:val="000000"/>
          <w:sz w:val="24"/>
          <w:szCs w:val="32"/>
          <w:u w:val="single"/>
        </w:rPr>
        <w:t>】元违约金，以此类推，违约金总额不超过合同额的【</w:t>
      </w:r>
      <w:r>
        <w:rPr>
          <w:rFonts w:hint="eastAsia" w:ascii="Times New Roman" w:hAnsi="Times New Roman" w:eastAsiaTheme="minorEastAsia"/>
          <w:color w:val="000000"/>
          <w:sz w:val="24"/>
          <w:szCs w:val="32"/>
          <w:u w:val="single"/>
          <w:lang w:val="en-US" w:eastAsia="zh-CN"/>
        </w:rPr>
        <w:t>10</w:t>
      </w:r>
      <w:r>
        <w:rPr>
          <w:rFonts w:hint="eastAsia" w:ascii="Times New Roman" w:hAnsi="Times New Roman" w:eastAsiaTheme="minorEastAsia"/>
          <w:color w:val="000000"/>
          <w:sz w:val="24"/>
          <w:szCs w:val="32"/>
          <w:u w:val="single"/>
        </w:rPr>
        <w:t>】%，并承担由此给发包人造成的全部直接和间接损失；误期时间从工程竣工验收备案之日7天后起直至正式移交止的天数（不足一天的按一天计算）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竣工验收合格后【</w:t>
      </w:r>
      <w:r>
        <w:rPr>
          <w:rFonts w:hint="eastAsia" w:ascii="Times New Roman" w:hAnsi="Times New Roman" w:eastAsiaTheme="minorEastAsia"/>
          <w:color w:val="000000"/>
          <w:sz w:val="24"/>
          <w:szCs w:val="32"/>
          <w:lang w:val="en-US" w:eastAsia="zh-CN"/>
        </w:rPr>
        <w:t>1</w:t>
      </w:r>
      <w:r>
        <w:rPr>
          <w:rFonts w:hint="eastAsia" w:ascii="Times New Roman" w:hAnsi="Times New Roman" w:eastAsiaTheme="minorEastAsia"/>
          <w:color w:val="000000"/>
          <w:sz w:val="24"/>
          <w:szCs w:val="32"/>
        </w:rPr>
        <w:t xml:space="preserve">】个月内承包人完成竣工图【 </w:t>
      </w:r>
      <w:r>
        <w:rPr>
          <w:rFonts w:hint="eastAsia" w:ascii="Times New Roman" w:hAnsi="Times New Roman" w:eastAsiaTheme="minorEastAsia"/>
          <w:color w:val="000000"/>
          <w:sz w:val="24"/>
          <w:szCs w:val="32"/>
          <w:lang w:val="en-US" w:eastAsia="zh-CN"/>
        </w:rPr>
        <w:t>2</w:t>
      </w:r>
      <w:r>
        <w:rPr>
          <w:rFonts w:hint="eastAsia" w:ascii="Times New Roman" w:hAnsi="Times New Roman" w:eastAsiaTheme="minorEastAsia"/>
          <w:color w:val="000000"/>
          <w:sz w:val="24"/>
          <w:szCs w:val="32"/>
        </w:rPr>
        <w:t>】套并移交给发包人，否则视为违约，须向发包人支付合同总价【</w:t>
      </w:r>
      <w:r>
        <w:rPr>
          <w:rFonts w:hint="eastAsia" w:ascii="Times New Roman" w:hAnsi="Times New Roman" w:eastAsiaTheme="minorEastAsia"/>
          <w:color w:val="000000"/>
          <w:sz w:val="24"/>
          <w:szCs w:val="32"/>
          <w:lang w:val="en-US" w:eastAsia="zh-CN"/>
        </w:rPr>
        <w:t>2</w:t>
      </w:r>
      <w:r>
        <w:rPr>
          <w:rFonts w:hint="eastAsia" w:ascii="Times New Roman" w:hAnsi="Times New Roman" w:eastAsiaTheme="minorEastAsia"/>
          <w:color w:val="000000"/>
          <w:sz w:val="24"/>
          <w:szCs w:val="32"/>
        </w:rPr>
        <w:t>】%的违约金，发包人有权在应付工程款中予以一次性扣除。</w:t>
      </w:r>
    </w:p>
    <w:p>
      <w:pPr>
        <w:pStyle w:val="5"/>
        <w:bidi w:val="0"/>
        <w:spacing w:line="480" w:lineRule="exact"/>
        <w:ind w:firstLine="480" w:firstLineChars="200"/>
        <w:rPr>
          <w:rFonts w:eastAsiaTheme="minorEastAsia"/>
        </w:rPr>
      </w:pPr>
      <w:bookmarkStart w:id="1019" w:name="_Toc21188"/>
      <w:r>
        <w:rPr>
          <w:rFonts w:eastAsiaTheme="minorEastAsia"/>
        </w:rPr>
        <w:t>13.3 工程试车</w:t>
      </w:r>
      <w:bookmarkEnd w:id="1019"/>
    </w:p>
    <w:bookmarkEnd w:id="1017"/>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13.3.1 试车程序</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工程试车内容：</w:t>
      </w:r>
      <w:r>
        <w:rPr>
          <w:rFonts w:hint="eastAsia" w:ascii="Times New Roman" w:hAnsi="Times New Roman" w:eastAsiaTheme="minorEastAsia"/>
          <w:color w:val="000000"/>
          <w:sz w:val="24"/>
          <w:szCs w:val="32"/>
          <w:u w:val="single"/>
        </w:rPr>
        <w:t>无</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（1）单机无负荷试车费用由</w:t>
      </w:r>
      <w:r>
        <w:rPr>
          <w:rFonts w:hint="eastAsia"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kern w:val="0"/>
          <w:sz w:val="24"/>
          <w:szCs w:val="32"/>
        </w:rPr>
        <w:t>承担；</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（2）无负荷联动试车费用由</w:t>
      </w:r>
      <w:r>
        <w:rPr>
          <w:rFonts w:hint="eastAsia" w:ascii="Times New Roman" w:hAnsi="Times New Roman" w:eastAsiaTheme="minorEastAsia"/>
          <w:color w:val="000000"/>
          <w:sz w:val="24"/>
          <w:szCs w:val="32"/>
          <w:u w:val="single"/>
        </w:rPr>
        <w:t xml:space="preserve"> / </w:t>
      </w:r>
      <w:r>
        <w:rPr>
          <w:rFonts w:ascii="Times New Roman" w:hAnsi="Times New Roman" w:eastAsiaTheme="minorEastAsia"/>
          <w:color w:val="000000"/>
          <w:kern w:val="0"/>
          <w:sz w:val="24"/>
          <w:szCs w:val="32"/>
        </w:rPr>
        <w:t>承担。</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13.3.3 投料试车</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hint="eastAsia" w:ascii="Times New Roman" w:hAnsi="Times New Roman" w:eastAsiaTheme="minorEastAsia"/>
          <w:color w:val="000000"/>
          <w:kern w:val="0"/>
          <w:sz w:val="24"/>
          <w:szCs w:val="32"/>
        </w:rPr>
        <w:t>关于投料试车相关事项的约定：</w:t>
      </w:r>
      <w:r>
        <w:rPr>
          <w:rFonts w:hint="eastAsia" w:ascii="Times New Roman" w:hAnsi="Times New Roman" w:eastAsiaTheme="minorEastAsia"/>
          <w:color w:val="000000"/>
          <w:sz w:val="24"/>
          <w:szCs w:val="32"/>
          <w:u w:val="single"/>
        </w:rPr>
        <w:t xml:space="preserve"> / </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1020" w:name="_Toc7354"/>
      <w:r>
        <w:rPr>
          <w:rFonts w:eastAsiaTheme="minorEastAsia"/>
        </w:rPr>
        <w:t>13.6 竣工退场</w:t>
      </w:r>
      <w:bookmarkEnd w:id="1020"/>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13.6.1 竣工退场</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承包人完成竣工退场的期限：</w:t>
      </w:r>
      <w:r>
        <w:rPr>
          <w:rFonts w:hint="eastAsia" w:ascii="Times New Roman" w:hAnsi="Times New Roman" w:eastAsiaTheme="minorEastAsia"/>
          <w:color w:val="000000"/>
          <w:sz w:val="24"/>
          <w:szCs w:val="32"/>
          <w:u w:val="single"/>
        </w:rPr>
        <w:t>在收到发包人书面通知后7天内</w:t>
      </w:r>
      <w:r>
        <w:rPr>
          <w:rFonts w:ascii="Times New Roman" w:hAnsi="Times New Roman" w:eastAsiaTheme="minorEastAsia"/>
          <w:color w:val="000000"/>
          <w:kern w:val="0"/>
          <w:sz w:val="24"/>
          <w:szCs w:val="32"/>
        </w:rPr>
        <w:t>。</w:t>
      </w:r>
    </w:p>
    <w:p>
      <w:pPr>
        <w:pStyle w:val="4"/>
        <w:bidi w:val="0"/>
        <w:spacing w:line="480" w:lineRule="exact"/>
        <w:ind w:firstLine="480" w:firstLineChars="200"/>
        <w:rPr>
          <w:rFonts w:eastAsiaTheme="minorEastAsia"/>
        </w:rPr>
      </w:pPr>
      <w:bookmarkStart w:id="1021" w:name="_Toc17910"/>
      <w:r>
        <w:rPr>
          <w:rFonts w:eastAsiaTheme="minorEastAsia"/>
        </w:rPr>
        <w:t>14. 竣工结算</w:t>
      </w:r>
      <w:bookmarkEnd w:id="1021"/>
    </w:p>
    <w:p>
      <w:pPr>
        <w:pStyle w:val="5"/>
        <w:bidi w:val="0"/>
        <w:spacing w:line="480" w:lineRule="exact"/>
        <w:ind w:firstLine="480" w:firstLineChars="200"/>
        <w:rPr>
          <w:rFonts w:eastAsiaTheme="minorEastAsia"/>
        </w:rPr>
      </w:pPr>
      <w:bookmarkStart w:id="1022" w:name="_Toc28244"/>
      <w:r>
        <w:rPr>
          <w:rFonts w:eastAsiaTheme="minorEastAsia"/>
        </w:rPr>
        <w:t>14.1 竣工</w:t>
      </w:r>
      <w:r>
        <w:rPr>
          <w:rFonts w:hint="eastAsia" w:eastAsiaTheme="minorEastAsia"/>
        </w:rPr>
        <w:t>结算</w:t>
      </w:r>
      <w:r>
        <w:rPr>
          <w:rFonts w:eastAsiaTheme="minorEastAsia"/>
        </w:rPr>
        <w:t>申请</w:t>
      </w:r>
      <w:bookmarkEnd w:id="1022"/>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sz w:val="24"/>
          <w:szCs w:val="32"/>
        </w:rPr>
        <w:t>承包人提交竣工</w:t>
      </w:r>
      <w:r>
        <w:rPr>
          <w:rFonts w:hint="eastAsia" w:ascii="Times New Roman" w:hAnsi="Times New Roman" w:eastAsiaTheme="minorEastAsia"/>
          <w:sz w:val="24"/>
          <w:szCs w:val="32"/>
        </w:rPr>
        <w:t>结算</w:t>
      </w:r>
      <w:r>
        <w:rPr>
          <w:rFonts w:ascii="Times New Roman" w:hAnsi="Times New Roman" w:eastAsiaTheme="minorEastAsia"/>
          <w:sz w:val="24"/>
          <w:szCs w:val="32"/>
        </w:rPr>
        <w:t>申请单的期限：</w:t>
      </w:r>
      <w:r>
        <w:rPr>
          <w:rFonts w:hint="eastAsia" w:ascii="Times New Roman" w:hAnsi="Times New Roman" w:eastAsiaTheme="minorEastAsia"/>
          <w:color w:val="000000"/>
          <w:sz w:val="24"/>
          <w:szCs w:val="32"/>
          <w:u w:val="single"/>
        </w:rPr>
        <w:t>竣工结算结果审核完成并经双方确认结算结果后</w:t>
      </w:r>
      <w:r>
        <w:rPr>
          <w:rFonts w:hint="eastAsia" w:ascii="Times New Roman" w:hAnsi="Times New Roman" w:eastAsiaTheme="minorEastAsia"/>
          <w:color w:val="000000"/>
          <w:sz w:val="24"/>
          <w:szCs w:val="32"/>
        </w:rPr>
        <w:t>/竣工验收合格后3个月内</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竣工</w:t>
      </w:r>
      <w:r>
        <w:rPr>
          <w:rFonts w:hint="eastAsia" w:ascii="Times New Roman" w:hAnsi="Times New Roman" w:eastAsiaTheme="minorEastAsia"/>
          <w:color w:val="000000"/>
          <w:sz w:val="24"/>
          <w:szCs w:val="32"/>
        </w:rPr>
        <w:t>结算</w:t>
      </w:r>
      <w:r>
        <w:rPr>
          <w:rFonts w:ascii="Times New Roman" w:hAnsi="Times New Roman" w:eastAsiaTheme="minorEastAsia"/>
          <w:color w:val="000000"/>
          <w:sz w:val="24"/>
          <w:szCs w:val="32"/>
        </w:rPr>
        <w:t>申请单应包括的内容：</w:t>
      </w:r>
      <w:r>
        <w:rPr>
          <w:rFonts w:hint="eastAsia" w:ascii="Times New Roman" w:hAnsi="Times New Roman" w:eastAsiaTheme="minorEastAsia"/>
          <w:color w:val="000000"/>
          <w:sz w:val="24"/>
          <w:szCs w:val="32"/>
          <w:u w:val="single"/>
        </w:rPr>
        <w:t>竣工结算合同价格；发包人已支付承包人的款项；应扣留的质量保证金；发包人应支付承包人的合同价款</w:t>
      </w:r>
      <w:r>
        <w:rPr>
          <w:rFonts w:hint="eastAsia"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1023" w:name="_Toc7350"/>
      <w:r>
        <w:rPr>
          <w:rFonts w:eastAsiaTheme="minorEastAsia"/>
        </w:rPr>
        <w:t>14.2 竣工结算审核</w:t>
      </w:r>
      <w:bookmarkEnd w:id="1023"/>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sz w:val="24"/>
          <w:szCs w:val="32"/>
        </w:rPr>
      </w:pPr>
      <w:r>
        <w:rPr>
          <w:rFonts w:ascii="Times New Roman" w:hAnsi="Times New Roman" w:eastAsiaTheme="minorEastAsia"/>
          <w:sz w:val="24"/>
          <w:szCs w:val="32"/>
        </w:rPr>
        <w:t>发包人</w:t>
      </w:r>
      <w:r>
        <w:rPr>
          <w:rFonts w:hint="eastAsia" w:ascii="Times New Roman" w:hAnsi="Times New Roman" w:eastAsiaTheme="minorEastAsia"/>
          <w:sz w:val="24"/>
          <w:szCs w:val="32"/>
        </w:rPr>
        <w:t>审批</w:t>
      </w:r>
      <w:r>
        <w:rPr>
          <w:rFonts w:ascii="Times New Roman" w:hAnsi="Times New Roman" w:eastAsiaTheme="minorEastAsia"/>
          <w:sz w:val="24"/>
          <w:szCs w:val="32"/>
        </w:rPr>
        <w:t>竣工付款申请单的期限：</w:t>
      </w:r>
      <w:r>
        <w:rPr>
          <w:rFonts w:hint="eastAsia" w:ascii="Times New Roman" w:hAnsi="Times New Roman" w:eastAsiaTheme="minorEastAsia"/>
          <w:color w:val="000000"/>
          <w:sz w:val="24"/>
          <w:szCs w:val="32"/>
          <w:u w:val="single"/>
        </w:rPr>
        <w:t>按发包人支付审批制度执行</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sz w:val="24"/>
          <w:szCs w:val="32"/>
        </w:rPr>
        <w:t>发包人完成竣工付款的期限：</w:t>
      </w:r>
      <w:r>
        <w:rPr>
          <w:rFonts w:hint="eastAsia" w:ascii="Times New Roman" w:hAnsi="Times New Roman" w:eastAsiaTheme="minorEastAsia"/>
          <w:color w:val="000000"/>
          <w:sz w:val="24"/>
          <w:szCs w:val="32"/>
          <w:u w:val="single"/>
        </w:rPr>
        <w:t>见本合同专用条款12.4条约定</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hint="eastAsia" w:ascii="Times New Roman" w:hAnsi="Times New Roman" w:eastAsiaTheme="minorEastAsia"/>
          <w:color w:val="000000"/>
          <w:sz w:val="24"/>
          <w:szCs w:val="32"/>
        </w:rPr>
        <w:t>关于竣工付款证书异议部分复核的方式和程序：</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1024" w:name="_Toc8204"/>
      <w:r>
        <w:rPr>
          <w:rFonts w:eastAsiaTheme="minorEastAsia"/>
        </w:rPr>
        <w:t>14.4 最终结清</w:t>
      </w:r>
      <w:bookmarkEnd w:id="1024"/>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lang w:val="en-US" w:eastAsia="zh-CN"/>
        </w:rPr>
      </w:pPr>
      <w:r>
        <w:rPr>
          <w:rFonts w:hint="eastAsia" w:ascii="Times New Roman" w:hAnsi="Times New Roman" w:eastAsiaTheme="minorEastAsia"/>
          <w:color w:val="000000"/>
          <w:kern w:val="0"/>
          <w:sz w:val="24"/>
          <w:szCs w:val="32"/>
          <w:lang w:val="en-US" w:eastAsia="zh-CN"/>
        </w:rPr>
        <w:t>按合同付款约定执行。</w:t>
      </w:r>
    </w:p>
    <w:bookmarkEnd w:id="1006"/>
    <w:bookmarkEnd w:id="1007"/>
    <w:bookmarkEnd w:id="1008"/>
    <w:bookmarkEnd w:id="1009"/>
    <w:bookmarkEnd w:id="1010"/>
    <w:bookmarkEnd w:id="1011"/>
    <w:bookmarkEnd w:id="1012"/>
    <w:bookmarkEnd w:id="1018"/>
    <w:p>
      <w:pPr>
        <w:pStyle w:val="4"/>
        <w:bidi w:val="0"/>
        <w:spacing w:line="480" w:lineRule="exact"/>
        <w:ind w:firstLine="480" w:firstLineChars="200"/>
        <w:rPr>
          <w:rFonts w:eastAsiaTheme="minorEastAsia"/>
        </w:rPr>
      </w:pPr>
      <w:bookmarkStart w:id="1025" w:name="_Toc7113"/>
      <w:bookmarkStart w:id="1026" w:name="_Toc267251483"/>
      <w:bookmarkStart w:id="1027" w:name="_Toc267251482"/>
      <w:bookmarkStart w:id="1028" w:name="_Toc267251484"/>
      <w:bookmarkStart w:id="1029" w:name="_Toc267251485"/>
      <w:bookmarkStart w:id="1030" w:name="_Toc267251486"/>
      <w:bookmarkStart w:id="1031" w:name="_Toc267251490"/>
      <w:bookmarkStart w:id="1032" w:name="_Toc267251489"/>
      <w:bookmarkStart w:id="1033" w:name="_Toc267251488"/>
      <w:bookmarkStart w:id="1034" w:name="_Toc267251495"/>
      <w:bookmarkStart w:id="1035" w:name="_Toc267251493"/>
      <w:bookmarkStart w:id="1036" w:name="_Toc267251502"/>
      <w:bookmarkStart w:id="1037" w:name="_Toc267251498"/>
      <w:bookmarkStart w:id="1038" w:name="_Toc267251501"/>
      <w:bookmarkStart w:id="1039" w:name="_Toc267251497"/>
      <w:bookmarkStart w:id="1040" w:name="_Toc267251492"/>
      <w:bookmarkStart w:id="1041" w:name="_Toc267251494"/>
      <w:bookmarkStart w:id="1042" w:name="_Toc267251491"/>
      <w:bookmarkStart w:id="1043" w:name="_Toc267251496"/>
      <w:bookmarkStart w:id="1044" w:name="_Toc267251503"/>
      <w:bookmarkStart w:id="1045" w:name="_Toc267251499"/>
      <w:bookmarkStart w:id="1046" w:name="_Toc267251504"/>
      <w:bookmarkStart w:id="1047" w:name="_Toc267251506"/>
      <w:bookmarkStart w:id="1048" w:name="_Toc267251507"/>
      <w:bookmarkStart w:id="1049" w:name="_Toc267251508"/>
      <w:bookmarkStart w:id="1050" w:name="_Toc267251509"/>
      <w:bookmarkStart w:id="1051" w:name="_Toc267251510"/>
      <w:bookmarkStart w:id="1052" w:name="_Toc267251511"/>
      <w:bookmarkStart w:id="1053" w:name="_Toc267251513"/>
      <w:bookmarkStart w:id="1054" w:name="_Toc267251515"/>
      <w:bookmarkStart w:id="1055" w:name="_Toc267251514"/>
      <w:r>
        <w:rPr>
          <w:rFonts w:eastAsiaTheme="minorEastAsia"/>
          <w:b/>
          <w:bCs w:val="0"/>
        </w:rPr>
        <w:t xml:space="preserve">15. </w:t>
      </w:r>
      <w:r>
        <w:rPr>
          <w:rFonts w:eastAsiaTheme="minorEastAsia"/>
        </w:rPr>
        <w:t>缺陷责任期与保修</w:t>
      </w:r>
      <w:bookmarkEnd w:id="1025"/>
    </w:p>
    <w:p>
      <w:pPr>
        <w:pStyle w:val="5"/>
        <w:bidi w:val="0"/>
        <w:spacing w:line="480" w:lineRule="exact"/>
        <w:ind w:firstLine="480" w:firstLineChars="200"/>
        <w:rPr>
          <w:rFonts w:eastAsiaTheme="minorEastAsia"/>
        </w:rPr>
      </w:pPr>
      <w:bookmarkStart w:id="1056" w:name="_Toc17345"/>
      <w:r>
        <w:rPr>
          <w:rFonts w:eastAsiaTheme="minorEastAsia"/>
        </w:rPr>
        <w:t>15.</w:t>
      </w:r>
      <w:r>
        <w:rPr>
          <w:rFonts w:hint="eastAsia" w:eastAsiaTheme="minorEastAsia"/>
          <w:lang w:val="en-US" w:eastAsia="zh-CN"/>
        </w:rPr>
        <w:t>1</w:t>
      </w:r>
      <w:r>
        <w:rPr>
          <w:rFonts w:eastAsiaTheme="minorEastAsia"/>
        </w:rPr>
        <w:t>缺陷责任期</w:t>
      </w:r>
      <w:bookmarkEnd w:id="1026"/>
      <w:bookmarkEnd w:id="1056"/>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缺陷责任期的具体期限：</w:t>
      </w:r>
      <w:r>
        <w:rPr>
          <w:rFonts w:hint="eastAsia" w:ascii="Times New Roman" w:hAnsi="Times New Roman" w:eastAsiaTheme="minorEastAsia"/>
          <w:color w:val="000000"/>
          <w:sz w:val="24"/>
          <w:szCs w:val="32"/>
          <w:u w:val="single"/>
        </w:rPr>
        <w:t>【</w:t>
      </w:r>
      <w:r>
        <w:rPr>
          <w:rFonts w:hint="eastAsia" w:ascii="Times New Roman" w:hAnsi="Times New Roman" w:eastAsiaTheme="minorEastAsia"/>
          <w:color w:val="000000"/>
          <w:sz w:val="24"/>
          <w:szCs w:val="32"/>
          <w:u w:val="single"/>
          <w:lang w:val="en-US" w:eastAsia="zh-CN"/>
        </w:rPr>
        <w:t>12</w:t>
      </w:r>
      <w:r>
        <w:rPr>
          <w:rFonts w:hint="eastAsia" w:ascii="Times New Roman" w:hAnsi="Times New Roman" w:eastAsiaTheme="minorEastAsia"/>
          <w:color w:val="000000"/>
          <w:sz w:val="24"/>
          <w:szCs w:val="32"/>
          <w:u w:val="single"/>
        </w:rPr>
        <w:t xml:space="preserve"> 】个月</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1057" w:name="_Toc13567"/>
      <w:r>
        <w:rPr>
          <w:rFonts w:eastAsiaTheme="minorEastAsia"/>
        </w:rPr>
        <w:t>15.</w:t>
      </w:r>
      <w:r>
        <w:rPr>
          <w:rFonts w:hint="eastAsia" w:eastAsiaTheme="minorEastAsia"/>
          <w:lang w:val="en-US" w:eastAsia="zh-CN"/>
        </w:rPr>
        <w:t>2</w:t>
      </w:r>
      <w:r>
        <w:rPr>
          <w:rFonts w:eastAsiaTheme="minorEastAsia"/>
        </w:rPr>
        <w:t xml:space="preserve"> 质量保证金</w:t>
      </w:r>
      <w:bookmarkEnd w:id="1057"/>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关于是否扣留质量保证金的约定：</w:t>
      </w:r>
      <w:r>
        <w:rPr>
          <w:rFonts w:hint="eastAsia" w:ascii="Times New Roman" w:hAnsi="Times New Roman" w:eastAsiaTheme="minorEastAsia"/>
          <w:color w:val="000000"/>
          <w:sz w:val="24"/>
          <w:szCs w:val="32"/>
          <w:u w:val="single"/>
        </w:rPr>
        <w:t>是</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hint="eastAsia" w:eastAsiaTheme="minorEastAsia"/>
          <w:color w:val="000000"/>
          <w:sz w:val="24"/>
          <w:szCs w:val="32"/>
        </w:rPr>
      </w:pPr>
      <w:r>
        <w:rPr>
          <w:rFonts w:hint="eastAsia" w:eastAsiaTheme="minorEastAsia"/>
          <w:color w:val="000000"/>
          <w:sz w:val="24"/>
          <w:szCs w:val="32"/>
        </w:rPr>
        <w:t>在工程项目竣工前，承包人按专用合同条款第3.7条提供履约担保的，发包人不得同时预留工程质量保证金。</w:t>
      </w:r>
    </w:p>
    <w:p>
      <w:pPr>
        <w:pageBreakBefore w:val="0"/>
        <w:widowControl w:val="0"/>
        <w:kinsoku/>
        <w:wordWrap/>
        <w:overflowPunct/>
        <w:topLinePunct w:val="0"/>
        <w:bidi w:val="0"/>
        <w:spacing w:line="480" w:lineRule="exact"/>
        <w:ind w:firstLine="480" w:firstLineChars="200"/>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 xml:space="preserve">15.3.1 </w:t>
      </w:r>
      <w:r>
        <w:rPr>
          <w:rFonts w:hint="eastAsia" w:ascii="Times New Roman" w:hAnsi="Times New Roman" w:eastAsiaTheme="minorEastAsia"/>
          <w:color w:val="000000"/>
          <w:sz w:val="24"/>
          <w:szCs w:val="32"/>
        </w:rPr>
        <w:t>承包人提供</w:t>
      </w:r>
      <w:r>
        <w:rPr>
          <w:rFonts w:ascii="Times New Roman" w:hAnsi="Times New Roman" w:eastAsiaTheme="minorEastAsia"/>
          <w:color w:val="000000"/>
          <w:sz w:val="24"/>
          <w:szCs w:val="32"/>
        </w:rPr>
        <w:t>质量保证金的</w:t>
      </w:r>
      <w:r>
        <w:rPr>
          <w:rFonts w:hint="eastAsia" w:ascii="Times New Roman" w:hAnsi="Times New Roman" w:eastAsiaTheme="minorEastAsia"/>
          <w:color w:val="000000"/>
          <w:sz w:val="24"/>
          <w:szCs w:val="32"/>
        </w:rPr>
        <w:t>方</w:t>
      </w:r>
      <w:r>
        <w:rPr>
          <w:rFonts w:ascii="Times New Roman" w:hAnsi="Times New Roman" w:eastAsiaTheme="minorEastAsia"/>
          <w:color w:val="000000"/>
          <w:sz w:val="24"/>
          <w:szCs w:val="32"/>
        </w:rPr>
        <w:t>式</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质量保证金采用以下第</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2</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种方式：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（1）质量保证金保函，保证金额为：</w:t>
      </w:r>
      <w:r>
        <w:rPr>
          <w:rFonts w:hint="eastAsia" w:ascii="Times New Roman" w:hAnsi="Times New Roman" w:eastAsiaTheme="minorEastAsia"/>
          <w:color w:val="000000"/>
          <w:kern w:val="0"/>
          <w:sz w:val="24"/>
          <w:szCs w:val="32"/>
          <w:u w:val="single"/>
        </w:rPr>
        <w:t>工程竣工结算价款的3%</w:t>
      </w:r>
      <w:r>
        <w:rPr>
          <w:rFonts w:ascii="Times New Roman" w:hAnsi="Times New Roman" w:eastAsiaTheme="minorEastAsia"/>
          <w:color w:val="000000"/>
          <w:kern w:val="0"/>
          <w:sz w:val="24"/>
          <w:szCs w:val="32"/>
        </w:rPr>
        <w:t xml:space="preserve">； </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（2）</w:t>
      </w:r>
      <w:r>
        <w:rPr>
          <w:rFonts w:hint="eastAsia" w:ascii="Times New Roman" w:hAnsi="Times New Roman" w:eastAsiaTheme="minorEastAsia"/>
          <w:color w:val="000000"/>
          <w:kern w:val="0"/>
          <w:sz w:val="24"/>
          <w:szCs w:val="32"/>
          <w:u w:val="single"/>
        </w:rPr>
        <w:t>【</w:t>
      </w:r>
      <w:r>
        <w:rPr>
          <w:rFonts w:hint="eastAsia" w:ascii="Times New Roman" w:hAnsi="Times New Roman" w:eastAsiaTheme="minorEastAsia"/>
          <w:color w:val="000000"/>
          <w:kern w:val="0"/>
          <w:sz w:val="24"/>
          <w:szCs w:val="32"/>
          <w:u w:val="single"/>
          <w:lang w:val="en-US" w:eastAsia="zh-CN"/>
        </w:rPr>
        <w:t>3</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rPr>
        <w:t>%的工程款；</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（3）其他</w:t>
      </w:r>
      <w:r>
        <w:rPr>
          <w:rFonts w:hint="eastAsia" w:ascii="Times New Roman" w:hAnsi="Times New Roman" w:eastAsiaTheme="minorEastAsia"/>
          <w:color w:val="000000"/>
          <w:kern w:val="0"/>
          <w:sz w:val="24"/>
          <w:szCs w:val="32"/>
        </w:rPr>
        <w:t>方</w:t>
      </w:r>
      <w:r>
        <w:rPr>
          <w:rFonts w:ascii="Times New Roman" w:hAnsi="Times New Roman" w:eastAsiaTheme="minorEastAsia"/>
          <w:color w:val="000000"/>
          <w:kern w:val="0"/>
          <w:sz w:val="24"/>
          <w:szCs w:val="32"/>
        </w:rPr>
        <w:t>式:</w:t>
      </w:r>
      <w:r>
        <w:rPr>
          <w:rFonts w:hint="eastAsia" w:eastAsiaTheme="minorEastAsia"/>
        </w:rPr>
        <w:t xml:space="preserve"> </w:t>
      </w:r>
      <w:r>
        <w:rPr>
          <w:rFonts w:hint="eastAsia" w:ascii="Times New Roman" w:hAnsi="Times New Roman" w:eastAsiaTheme="minorEastAsia"/>
          <w:color w:val="000000"/>
          <w:kern w:val="0"/>
          <w:sz w:val="24"/>
          <w:szCs w:val="32"/>
          <w:u w:val="single"/>
        </w:rPr>
        <w:t>质量保证金保函（保函格式见附件），保函金额为工程竣工结算价款的3%。如承包人未提供质量保证金保函，视为承包人同意发包人扣留工程竣工结算价款的3%作为质量保证金，质保期后(无息/按银行同期贷款基准利率计算利息)返还质保金结算额。</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 xml:space="preserve">15.3.2 质量保证金的扣留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质量保证金的扣留采取以下第</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2</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种方式：</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pacing w:line="480" w:lineRule="exact"/>
        <w:ind w:firstLine="480" w:firstLineChars="200"/>
        <w:jc w:val="left"/>
        <w:outlineLvl w:val="9"/>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（2）工程竣工结算时一次性扣留质量保证金；</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（3）其他扣留方式:</w:t>
      </w:r>
      <w:r>
        <w:rPr>
          <w:rFonts w:hint="eastAsia" w:eastAsiaTheme="minorEastAsia"/>
        </w:rPr>
        <w:t xml:space="preserve"> </w:t>
      </w:r>
      <w:r>
        <w:rPr>
          <w:rFonts w:hint="eastAsia" w:ascii="Times New Roman" w:hAnsi="Times New Roman" w:eastAsiaTheme="minorEastAsia"/>
          <w:color w:val="000000"/>
          <w:kern w:val="0"/>
          <w:sz w:val="24"/>
          <w:szCs w:val="32"/>
          <w:u w:val="single"/>
        </w:rPr>
        <w:t>工程竣工结算时一次性提供质量保证金保函；如承包人未提供质量保证金保函，则发包人一次性扣留质量保证金。</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ascii="Times New Roman" w:hAnsi="Times New Roman" w:eastAsiaTheme="minorEastAsia"/>
          <w:color w:val="000000"/>
          <w:sz w:val="24"/>
          <w:szCs w:val="32"/>
        </w:rPr>
        <w:t>关于质量保证金的补充约定：</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lang w:val="en-US" w:eastAsia="zh-CN"/>
        </w:rPr>
        <w:t>/</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rPr>
        <w:t>。</w:t>
      </w:r>
    </w:p>
    <w:bookmarkEnd w:id="1027"/>
    <w:bookmarkEnd w:id="1028"/>
    <w:p>
      <w:pPr>
        <w:pStyle w:val="5"/>
        <w:bidi w:val="0"/>
        <w:spacing w:line="480" w:lineRule="exact"/>
        <w:ind w:firstLine="480" w:firstLineChars="200"/>
        <w:rPr>
          <w:rFonts w:eastAsiaTheme="minorEastAsia"/>
        </w:rPr>
      </w:pPr>
      <w:bookmarkStart w:id="1058" w:name="_Toc13771"/>
      <w:r>
        <w:rPr>
          <w:rFonts w:eastAsiaTheme="minorEastAsia"/>
        </w:rPr>
        <w:t>15.4保修</w:t>
      </w:r>
      <w:bookmarkEnd w:id="1058"/>
    </w:p>
    <w:bookmarkEnd w:id="1029"/>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15.4.1 保修责任</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ascii="Times New Roman" w:hAnsi="Times New Roman" w:eastAsiaTheme="minorEastAsia"/>
          <w:color w:val="000000"/>
          <w:sz w:val="24"/>
          <w:szCs w:val="32"/>
        </w:rPr>
        <w:t>工程保修期为：</w:t>
      </w:r>
      <w:r>
        <w:rPr>
          <w:rFonts w:hint="eastAsia" w:ascii="Times New Roman" w:hAnsi="Times New Roman" w:eastAsiaTheme="minorEastAsia"/>
          <w:color w:val="000000"/>
          <w:sz w:val="24"/>
          <w:szCs w:val="32"/>
          <w:u w:val="single"/>
          <w:lang w:val="en-US" w:eastAsia="zh-CN"/>
        </w:rPr>
        <w:t>竣工验收合格之日起1年</w:t>
      </w:r>
      <w:r>
        <w:rPr>
          <w:rFonts w:ascii="Times New Roman" w:hAnsi="Times New Roman" w:eastAsiaTheme="minorEastAsia"/>
          <w:color w:val="000000"/>
          <w:kern w:val="0"/>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15.4.3 修复通知</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承包人收到保修通知并到达工程现场的合理时间：</w:t>
      </w:r>
      <w:r>
        <w:rPr>
          <w:rFonts w:hint="eastAsia" w:ascii="Times New Roman" w:hAnsi="Times New Roman" w:eastAsiaTheme="minorEastAsia"/>
          <w:color w:val="000000"/>
          <w:kern w:val="0"/>
          <w:sz w:val="24"/>
          <w:szCs w:val="32"/>
          <w:u w:val="single"/>
        </w:rPr>
        <w:t>【24】小时，如不及时进行修复，发包人有权委托第三方进行维修修复，相关费用由承包人承担</w:t>
      </w:r>
      <w:r>
        <w:rPr>
          <w:rFonts w:ascii="Times New Roman" w:hAnsi="Times New Roman" w:eastAsiaTheme="minorEastAsia"/>
          <w:color w:val="000000"/>
          <w:kern w:val="0"/>
          <w:sz w:val="24"/>
          <w:szCs w:val="32"/>
        </w:rPr>
        <w:t>。</w:t>
      </w:r>
    </w:p>
    <w:bookmarkEnd w:id="1030"/>
    <w:bookmarkEnd w:id="1031"/>
    <w:bookmarkEnd w:id="1032"/>
    <w:bookmarkEnd w:id="1033"/>
    <w:p>
      <w:pPr>
        <w:pStyle w:val="4"/>
        <w:bidi w:val="0"/>
        <w:spacing w:line="480" w:lineRule="exact"/>
        <w:ind w:firstLine="480" w:firstLineChars="200"/>
        <w:rPr>
          <w:rFonts w:eastAsiaTheme="minorEastAsia"/>
        </w:rPr>
      </w:pPr>
      <w:bookmarkStart w:id="1059" w:name="_Toc17923"/>
      <w:bookmarkStart w:id="1060" w:name="_Toc280868717"/>
      <w:bookmarkStart w:id="1061" w:name="_Toc280868718"/>
      <w:r>
        <w:rPr>
          <w:rFonts w:eastAsiaTheme="minorEastAsia"/>
        </w:rPr>
        <w:t>16. 违约</w:t>
      </w:r>
      <w:bookmarkEnd w:id="1059"/>
    </w:p>
    <w:p>
      <w:pPr>
        <w:pStyle w:val="5"/>
        <w:bidi w:val="0"/>
        <w:spacing w:line="480" w:lineRule="exact"/>
        <w:ind w:firstLine="480" w:firstLineChars="200"/>
        <w:rPr>
          <w:rFonts w:eastAsiaTheme="minorEastAsia"/>
        </w:rPr>
      </w:pPr>
      <w:bookmarkStart w:id="1062" w:name="_Toc27892"/>
      <w:r>
        <w:rPr>
          <w:rFonts w:eastAsiaTheme="minorEastAsia"/>
        </w:rPr>
        <w:t>16.1 发包人违约</w:t>
      </w:r>
      <w:bookmarkEnd w:id="1062"/>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16.1.1发包人违约的情形</w:t>
      </w:r>
    </w:p>
    <w:p>
      <w:pPr>
        <w:pageBreakBefore w:val="0"/>
        <w:widowControl w:val="0"/>
        <w:kinsoku/>
        <w:wordWrap/>
        <w:overflowPunct/>
        <w:topLinePunct w:val="0"/>
        <w:bidi w:val="0"/>
        <w:spacing w:line="480" w:lineRule="exact"/>
        <w:ind w:left="0" w:firstLine="480" w:firstLineChars="200"/>
        <w:jc w:val="left"/>
        <w:rPr>
          <w:rStyle w:val="71"/>
          <w:rFonts w:hint="eastAsia" w:ascii="Times New Roman" w:hAnsi="Times New Roman" w:cs="Times New Roman" w:eastAsiaTheme="minorEastAsia"/>
          <w:b/>
          <w:color w:val="000000"/>
          <w:kern w:val="0"/>
          <w:sz w:val="24"/>
          <w:szCs w:val="32"/>
        </w:rPr>
      </w:pPr>
      <w:r>
        <w:rPr>
          <w:rFonts w:ascii="Times New Roman" w:hAnsi="Times New Roman" w:eastAsiaTheme="minorEastAsia"/>
          <w:color w:val="000000"/>
          <w:kern w:val="0"/>
          <w:sz w:val="24"/>
          <w:szCs w:val="32"/>
        </w:rPr>
        <w:t>发包人违约的其他情形：</w:t>
      </w:r>
      <w:r>
        <w:rPr>
          <w:rFonts w:ascii="Times New Roman" w:hAnsi="Times New Roman" w:eastAsiaTheme="minorEastAsia"/>
          <w:color w:val="000000"/>
          <w:kern w:val="0"/>
          <w:sz w:val="24"/>
          <w:szCs w:val="32"/>
          <w:u w:val="single"/>
        </w:rPr>
        <w:t xml:space="preserve">            </w:t>
      </w:r>
      <w:r>
        <w:rPr>
          <w:rFonts w:hint="eastAsia" w:ascii="Times New Roman" w:hAnsi="Times New Roman" w:eastAsiaTheme="minorEastAsia"/>
          <w:color w:val="000000"/>
          <w:kern w:val="0"/>
          <w:sz w:val="24"/>
          <w:szCs w:val="32"/>
          <w:u w:val="single"/>
          <w:lang w:val="en-US" w:eastAsia="zh-CN"/>
        </w:rPr>
        <w:t>/</w:t>
      </w:r>
      <w:r>
        <w:rPr>
          <w:rFonts w:ascii="Times New Roman" w:hAnsi="Times New Roman" w:eastAsiaTheme="minorEastAsia"/>
          <w:color w:val="000000"/>
          <w:kern w:val="0"/>
          <w:sz w:val="24"/>
          <w:szCs w:val="32"/>
          <w:u w:val="single"/>
        </w:rPr>
        <w:t xml:space="preserve">                 </w:t>
      </w:r>
    </w:p>
    <w:p>
      <w:pPr>
        <w:pageBreakBefore w:val="0"/>
        <w:widowControl/>
        <w:kinsoku/>
        <w:wordWrap/>
        <w:overflowPunct/>
        <w:topLinePunct w:val="0"/>
        <w:autoSpaceDE w:val="0"/>
        <w:autoSpaceDN w:val="0"/>
        <w:bidi w:val="0"/>
        <w:adjustRightInd w:val="0"/>
        <w:spacing w:line="480" w:lineRule="exact"/>
        <w:ind w:left="0" w:firstLine="480" w:firstLineChars="200"/>
        <w:jc w:val="left"/>
        <w:rPr>
          <w:rFonts w:ascii="Times New Roman" w:hAnsi="Times New Roman" w:eastAsiaTheme="minorEastAsia"/>
          <w:color w:val="000000"/>
          <w:kern w:val="0"/>
          <w:sz w:val="24"/>
          <w:szCs w:val="32"/>
        </w:rPr>
      </w:pPr>
      <w:r>
        <w:rPr>
          <w:rStyle w:val="71"/>
          <w:rFonts w:ascii="Times New Roman" w:hAnsi="Times New Roman" w:cs="Times New Roman" w:eastAsiaTheme="minorEastAsia"/>
          <w:b/>
          <w:color w:val="000000"/>
          <w:kern w:val="0"/>
          <w:sz w:val="24"/>
          <w:szCs w:val="32"/>
        </w:rPr>
        <w:t>16</w:t>
      </w:r>
      <w:r>
        <w:rPr>
          <w:rFonts w:ascii="Times New Roman" w:hAnsi="Times New Roman" w:eastAsiaTheme="minorEastAsia"/>
          <w:color w:val="000000"/>
          <w:kern w:val="0"/>
          <w:sz w:val="24"/>
          <w:szCs w:val="32"/>
        </w:rPr>
        <w:t>.1.2 发包人违约的责任</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发包人违约责任的承担方式和计算方法：</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ascii="Times New Roman" w:hAnsi="Times New Roman" w:eastAsiaTheme="minorEastAsia"/>
          <w:color w:val="000000"/>
          <w:kern w:val="0"/>
          <w:sz w:val="24"/>
          <w:szCs w:val="32"/>
        </w:rPr>
        <w:t>（1）因发包人原因未能在计划开工日期前7天内下达开工通知的违约责任：</w:t>
      </w:r>
      <w:r>
        <w:rPr>
          <w:rFonts w:hint="eastAsia" w:ascii="Times New Roman" w:hAnsi="Times New Roman" w:eastAsiaTheme="minorEastAsia"/>
          <w:color w:val="000000"/>
          <w:kern w:val="0"/>
          <w:sz w:val="24"/>
          <w:szCs w:val="32"/>
          <w:u w:val="single"/>
        </w:rPr>
        <w:t>按实际下达的开工令日期提前或顺延工期</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（2）因发包人原因未能按合同约定支付合同价款的违约责任：</w:t>
      </w:r>
      <w:r>
        <w:rPr>
          <w:rFonts w:hint="eastAsia" w:ascii="Times New Roman" w:hAnsi="Times New Roman" w:eastAsiaTheme="minorEastAsia"/>
          <w:color w:val="000000"/>
          <w:kern w:val="0"/>
          <w:sz w:val="24"/>
          <w:szCs w:val="32"/>
          <w:u w:val="single"/>
        </w:rPr>
        <w:t>无</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w:t>
      </w:r>
      <w:r>
        <w:rPr>
          <w:rFonts w:hint="eastAsia" w:ascii="Times New Roman" w:hAnsi="Times New Roman" w:eastAsiaTheme="minorEastAsia"/>
          <w:color w:val="000000"/>
          <w:kern w:val="0"/>
          <w:sz w:val="24"/>
          <w:szCs w:val="32"/>
        </w:rPr>
        <w:t>3</w:t>
      </w:r>
      <w:r>
        <w:rPr>
          <w:rFonts w:ascii="Times New Roman" w:hAnsi="Times New Roman" w:eastAsiaTheme="minorEastAsia"/>
          <w:color w:val="000000"/>
          <w:kern w:val="0"/>
          <w:sz w:val="24"/>
          <w:szCs w:val="32"/>
        </w:rPr>
        <w:t>）发包人提供的材料、工程设备的规格、数量或质量不符合合同约定，或因发包人原因导致交货日期延误或交货地点变更等情况的违约责任：</w:t>
      </w:r>
      <w:r>
        <w:rPr>
          <w:rFonts w:hint="eastAsia" w:ascii="Times New Roman" w:hAnsi="Times New Roman" w:eastAsiaTheme="minorEastAsia"/>
          <w:color w:val="000000"/>
          <w:kern w:val="0"/>
          <w:sz w:val="24"/>
          <w:szCs w:val="32"/>
          <w:u w:val="single"/>
        </w:rPr>
        <w:t>无</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w:t>
      </w:r>
      <w:r>
        <w:rPr>
          <w:rFonts w:hint="eastAsia" w:ascii="Times New Roman" w:hAnsi="Times New Roman" w:eastAsiaTheme="minorEastAsia"/>
          <w:color w:val="000000"/>
          <w:kern w:val="0"/>
          <w:sz w:val="24"/>
          <w:szCs w:val="32"/>
        </w:rPr>
        <w:t>4</w:t>
      </w:r>
      <w:r>
        <w:rPr>
          <w:rFonts w:ascii="Times New Roman" w:hAnsi="Times New Roman" w:eastAsiaTheme="minorEastAsia"/>
          <w:color w:val="000000"/>
          <w:kern w:val="0"/>
          <w:sz w:val="24"/>
          <w:szCs w:val="32"/>
        </w:rPr>
        <w:t>）因发包人违反合同约定造成暂停施工的违约责任：</w:t>
      </w:r>
      <w:r>
        <w:rPr>
          <w:rFonts w:hint="eastAsia" w:ascii="Times New Roman" w:hAnsi="Times New Roman" w:eastAsiaTheme="minorEastAsia"/>
          <w:color w:val="000000"/>
          <w:kern w:val="0"/>
          <w:sz w:val="24"/>
          <w:szCs w:val="32"/>
          <w:u w:val="single"/>
        </w:rPr>
        <w:t>无</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w:t>
      </w:r>
      <w:r>
        <w:rPr>
          <w:rFonts w:hint="eastAsia" w:ascii="Times New Roman" w:hAnsi="Times New Roman" w:eastAsiaTheme="minorEastAsia"/>
          <w:color w:val="000000"/>
          <w:kern w:val="0"/>
          <w:sz w:val="24"/>
          <w:szCs w:val="32"/>
        </w:rPr>
        <w:t>5</w:t>
      </w:r>
      <w:r>
        <w:rPr>
          <w:rFonts w:ascii="Times New Roman" w:hAnsi="Times New Roman" w:eastAsiaTheme="minorEastAsia"/>
          <w:color w:val="000000"/>
          <w:kern w:val="0"/>
          <w:sz w:val="24"/>
          <w:szCs w:val="32"/>
        </w:rPr>
        <w:t>）发包人无正当理由没有在约定期限内发出复工指示，导致承包人无法复工的违约责任：</w:t>
      </w:r>
      <w:r>
        <w:rPr>
          <w:rFonts w:hint="eastAsia" w:ascii="Times New Roman" w:hAnsi="Times New Roman" w:eastAsiaTheme="minorEastAsia"/>
          <w:color w:val="000000"/>
          <w:kern w:val="0"/>
          <w:sz w:val="24"/>
          <w:szCs w:val="32"/>
          <w:u w:val="single"/>
        </w:rPr>
        <w:t>无</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w:t>
      </w:r>
      <w:r>
        <w:rPr>
          <w:rFonts w:hint="eastAsia" w:ascii="Times New Roman" w:hAnsi="Times New Roman" w:eastAsiaTheme="minorEastAsia"/>
          <w:color w:val="000000"/>
          <w:kern w:val="0"/>
          <w:sz w:val="24"/>
          <w:szCs w:val="32"/>
        </w:rPr>
        <w:t>6</w:t>
      </w:r>
      <w:r>
        <w:rPr>
          <w:rFonts w:ascii="Times New Roman" w:hAnsi="Times New Roman" w:eastAsiaTheme="minorEastAsia"/>
          <w:color w:val="000000"/>
          <w:kern w:val="0"/>
          <w:sz w:val="24"/>
          <w:szCs w:val="32"/>
        </w:rPr>
        <w:t>）</w:t>
      </w:r>
      <w:r>
        <w:rPr>
          <w:rFonts w:hint="eastAsia" w:ascii="Times New Roman" w:hAnsi="Times New Roman" w:eastAsiaTheme="minorEastAsia"/>
          <w:color w:val="000000"/>
          <w:kern w:val="0"/>
          <w:sz w:val="24"/>
          <w:szCs w:val="32"/>
        </w:rPr>
        <w:t>其他：</w:t>
      </w:r>
      <w:r>
        <w:rPr>
          <w:rFonts w:hint="eastAsia" w:ascii="Times New Roman" w:hAnsi="Times New Roman" w:eastAsiaTheme="minorEastAsia"/>
          <w:color w:val="000000"/>
          <w:kern w:val="0"/>
          <w:sz w:val="24"/>
          <w:szCs w:val="32"/>
          <w:u w:val="single"/>
        </w:rPr>
        <w:t>无</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16.1.3 因发包人违约解除合同</w:t>
      </w:r>
    </w:p>
    <w:p>
      <w:pPr>
        <w:pageBreakBefore w:val="0"/>
        <w:widowControl w:val="0"/>
        <w:kinsoku/>
        <w:wordWrap/>
        <w:overflowPunct/>
        <w:topLinePunct w:val="0"/>
        <w:autoSpaceDE w:val="0"/>
        <w:autoSpaceDN w:val="0"/>
        <w:bidi w:val="0"/>
        <w:adjustRightInd w:val="0"/>
        <w:spacing w:line="480" w:lineRule="exact"/>
        <w:ind w:firstLine="480" w:firstLineChars="200"/>
        <w:jc w:val="left"/>
        <w:rPr>
          <w:rFonts w:hint="eastAsia"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承包人按16.1.1项</w:t>
      </w:r>
      <w:r>
        <w:rPr>
          <w:rFonts w:hint="eastAsia" w:ascii="Times New Roman" w:hAnsi="Times New Roman" w:eastAsiaTheme="minorEastAsia"/>
          <w:color w:val="000000"/>
          <w:kern w:val="0"/>
          <w:sz w:val="24"/>
          <w:szCs w:val="32"/>
        </w:rPr>
        <w:t>〔</w:t>
      </w:r>
      <w:r>
        <w:rPr>
          <w:rFonts w:ascii="Times New Roman" w:hAnsi="Times New Roman" w:eastAsiaTheme="minorEastAsia"/>
          <w:color w:val="000000"/>
          <w:kern w:val="0"/>
          <w:sz w:val="24"/>
          <w:szCs w:val="32"/>
        </w:rPr>
        <w:t>发包人违约的情形</w:t>
      </w:r>
      <w:r>
        <w:rPr>
          <w:rFonts w:hint="eastAsia" w:ascii="Times New Roman" w:hAnsi="Times New Roman" w:eastAsiaTheme="minorEastAsia"/>
          <w:color w:val="000000"/>
          <w:kern w:val="0"/>
          <w:sz w:val="24"/>
          <w:szCs w:val="32"/>
        </w:rPr>
        <w:t>〕</w:t>
      </w:r>
      <w:r>
        <w:rPr>
          <w:rFonts w:ascii="Times New Roman" w:hAnsi="Times New Roman" w:eastAsiaTheme="minorEastAsia"/>
          <w:color w:val="000000"/>
          <w:kern w:val="0"/>
          <w:sz w:val="24"/>
          <w:szCs w:val="32"/>
        </w:rPr>
        <w:t>约定暂停施工满</w:t>
      </w:r>
      <w:r>
        <w:rPr>
          <w:rFonts w:hint="eastAsia" w:ascii="Times New Roman" w:hAnsi="Times New Roman" w:eastAsiaTheme="minorEastAsia"/>
          <w:color w:val="000000"/>
          <w:kern w:val="0"/>
          <w:sz w:val="24"/>
          <w:szCs w:val="32"/>
          <w:u w:val="single"/>
        </w:rPr>
        <w:t>【</w:t>
      </w:r>
      <w:r>
        <w:rPr>
          <w:rFonts w:hint="eastAsia" w:ascii="Times New Roman" w:hAnsi="Times New Roman" w:eastAsiaTheme="minorEastAsia"/>
          <w:color w:val="000000"/>
          <w:kern w:val="0"/>
          <w:sz w:val="24"/>
          <w:szCs w:val="32"/>
          <w:u w:val="single"/>
          <w:lang w:val="en-US" w:eastAsia="zh-CN"/>
        </w:rPr>
        <w:t>/</w:t>
      </w:r>
      <w:r>
        <w:rPr>
          <w:rFonts w:hint="eastAsia" w:ascii="Times New Roman" w:hAnsi="Times New Roman" w:eastAsiaTheme="minorEastAsia"/>
          <w:color w:val="000000"/>
          <w:kern w:val="0"/>
          <w:sz w:val="24"/>
          <w:szCs w:val="32"/>
          <w:u w:val="single"/>
        </w:rPr>
        <w:t xml:space="preserve"> 】</w:t>
      </w:r>
      <w:r>
        <w:rPr>
          <w:rFonts w:ascii="Times New Roman" w:hAnsi="Times New Roman" w:eastAsiaTheme="minorEastAsia"/>
          <w:color w:val="000000"/>
          <w:kern w:val="0"/>
          <w:sz w:val="24"/>
          <w:szCs w:val="32"/>
        </w:rPr>
        <w:t>天后发包人仍不纠正其违约行为并致使合同目的不能实现的，承包人有权解除合同。</w:t>
      </w:r>
    </w:p>
    <w:p>
      <w:pPr>
        <w:pStyle w:val="5"/>
        <w:bidi w:val="0"/>
        <w:spacing w:line="480" w:lineRule="exact"/>
        <w:ind w:firstLine="480" w:firstLineChars="200"/>
        <w:rPr>
          <w:rFonts w:eastAsiaTheme="minorEastAsia"/>
        </w:rPr>
      </w:pPr>
      <w:bookmarkStart w:id="1063" w:name="_Toc774"/>
      <w:r>
        <w:rPr>
          <w:rFonts w:eastAsiaTheme="minorEastAsia"/>
        </w:rPr>
        <w:t>16.2 承包人违约</w:t>
      </w:r>
      <w:bookmarkEnd w:id="1063"/>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16.2.1 承包人违约的情形</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ascii="Times New Roman" w:hAnsi="Times New Roman" w:eastAsiaTheme="minorEastAsia"/>
          <w:color w:val="000000"/>
          <w:kern w:val="0"/>
          <w:sz w:val="24"/>
          <w:szCs w:val="32"/>
        </w:rPr>
        <w:t>承包人违约的其他情形：</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（1）承包人未严格执行发包人及监理单位发出的工作指令；</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（2）在合同履约过程中，承包人以双方争议事项未达成共识为由单方面停工；</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（3）未按国家相关规定支付劳务工资，引发劳务协作单位围堵等事件；</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（4）承包人违反合同约定进行转包或违法分包的；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（5）承包人违反合同约定采购和使用不合格的材料和工程设备的；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（6）因承包人原因导致工程质量不符合合同要求的；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（7）承包人违反第8.9款(材料与设备专用要求)的约定，未经批准，私自将已按照合同约定进入施工现场的材料或设备撤离施工现场的；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（8）承包人未能按施工进度计划及时完成合同约定的工作，造成工期延误的；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（9）承包人在缺陷责任期及保修期内，未能在合理期限对工程缺陷进行修复，或拒绝按发包人要求进行修复的；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（10）承包人明确表示或者以其行为表明不履行合同主要义务的；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（11）承包人未能按照合同约定履行其他义务的；</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（12）承包人未提交其项目经理的劳动合同，以及没有为项目经理缴纳社会保险证明；</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（13）承包人项目经理未经批准，擅自离开施工现场；</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（14）承包人擅自更换项目经理;(经发包人同意除外)；</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（15）承包人无正当理由拒绝更换项目经理；</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（16）承包人无正当理由拒绝撤换主要施工管理人员；</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（17）承包人擅自更换主要施工管理人员;</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（18）承包人主要施工管理人员擅白离开施工现场；</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（19）其他违约情况。</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16.2.2承包人违约的责任</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ascii="Times New Roman" w:hAnsi="Times New Roman" w:eastAsiaTheme="minorEastAsia"/>
          <w:color w:val="000000"/>
          <w:kern w:val="0"/>
          <w:sz w:val="24"/>
          <w:szCs w:val="32"/>
        </w:rPr>
        <w:t>承包人违约责任的承担方式和计算方法：</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  承包人未经发包人同意将本工程转包、分包，承包人应向发包人支付合同总价款【</w:t>
      </w:r>
      <w:r>
        <w:rPr>
          <w:rFonts w:hint="eastAsia" w:ascii="Times New Roman" w:hAnsi="Times New Roman" w:eastAsiaTheme="minorEastAsia"/>
          <w:color w:val="000000"/>
          <w:kern w:val="0"/>
          <w:sz w:val="24"/>
          <w:szCs w:val="32"/>
          <w:u w:val="single"/>
          <w:lang w:val="en-US" w:eastAsia="zh-CN"/>
        </w:rPr>
        <w:t>10</w:t>
      </w:r>
      <w:r>
        <w:rPr>
          <w:rFonts w:hint="eastAsia" w:ascii="Times New Roman" w:hAnsi="Times New Roman" w:eastAsiaTheme="minorEastAsia"/>
          <w:color w:val="000000"/>
          <w:kern w:val="0"/>
          <w:sz w:val="24"/>
          <w:szCs w:val="32"/>
          <w:u w:val="single"/>
        </w:rPr>
        <w:t>】%的违约金，并承担相关责任。</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 xml:space="preserve">（2）  承包人拒不执行发包人及监理单位发出的工作指令，每发生一次承包人承担违约金【 </w:t>
      </w:r>
      <w:r>
        <w:rPr>
          <w:rFonts w:hint="eastAsia" w:ascii="Times New Roman" w:hAnsi="Times New Roman" w:eastAsiaTheme="minorEastAsia"/>
          <w:color w:val="000000"/>
          <w:kern w:val="0"/>
          <w:sz w:val="24"/>
          <w:szCs w:val="32"/>
          <w:u w:val="single"/>
          <w:lang w:val="en-US" w:eastAsia="zh-CN"/>
        </w:rPr>
        <w:t>1000</w:t>
      </w:r>
      <w:r>
        <w:rPr>
          <w:rFonts w:hint="eastAsia" w:ascii="Times New Roman" w:hAnsi="Times New Roman" w:eastAsiaTheme="minorEastAsia"/>
          <w:color w:val="000000"/>
          <w:kern w:val="0"/>
          <w:sz w:val="24"/>
          <w:szCs w:val="32"/>
          <w:u w:val="single"/>
        </w:rPr>
        <w:t>】元，由此造成的一切损失由承包人承担。违约金的支付并不能免除合同约定的承包人应尽的其他权利及义务。</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（3）  在合同履约过程中，承包人以双方争议事项未达成共识为由单方面停工，每停工一天（不足一天按一天计）承包人向发包人支付【</w:t>
      </w:r>
      <w:r>
        <w:rPr>
          <w:rFonts w:hint="eastAsia" w:ascii="Times New Roman" w:hAnsi="Times New Roman" w:eastAsiaTheme="minorEastAsia"/>
          <w:color w:val="000000"/>
          <w:kern w:val="0"/>
          <w:sz w:val="24"/>
          <w:szCs w:val="32"/>
          <w:u w:val="single"/>
          <w:lang w:val="en-US" w:eastAsia="zh-CN"/>
        </w:rPr>
        <w:t>10000</w:t>
      </w:r>
      <w:r>
        <w:rPr>
          <w:rFonts w:hint="eastAsia" w:ascii="Times New Roman" w:hAnsi="Times New Roman" w:eastAsiaTheme="minorEastAsia"/>
          <w:color w:val="000000"/>
          <w:kern w:val="0"/>
          <w:sz w:val="24"/>
          <w:szCs w:val="32"/>
          <w:u w:val="single"/>
        </w:rPr>
        <w:t xml:space="preserve"> 】元违约金，且总工期不予顺延。</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（4）  承包人将未经发包人确认的材料用于本工程，偷工减料，使用的材料以次充好，应无条件返工，若承包人不按发包人要求返工或返工不合格，除该部分施工工作量不计算工程款外，承包人还应承担该部分同等工程价款的违约金。</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（5）  承包人在施工时未按照投标时确定的措施项目进行设置、实施或降低标准时，每发生一次，承包人向发包人支付该项措施费的【</w:t>
      </w:r>
      <w:r>
        <w:rPr>
          <w:rFonts w:hint="eastAsia" w:ascii="Times New Roman" w:hAnsi="Times New Roman" w:eastAsiaTheme="minorEastAsia"/>
          <w:color w:val="000000"/>
          <w:kern w:val="0"/>
          <w:sz w:val="24"/>
          <w:szCs w:val="32"/>
          <w:u w:val="single"/>
          <w:lang w:val="en-US" w:eastAsia="zh-CN"/>
        </w:rPr>
        <w:t>10</w:t>
      </w:r>
      <w:r>
        <w:rPr>
          <w:rFonts w:hint="eastAsia" w:ascii="Times New Roman" w:hAnsi="Times New Roman" w:eastAsiaTheme="minorEastAsia"/>
          <w:color w:val="000000"/>
          <w:kern w:val="0"/>
          <w:sz w:val="24"/>
          <w:szCs w:val="32"/>
          <w:u w:val="single"/>
        </w:rPr>
        <w:t xml:space="preserve"> 】%作为违约金。</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（6）  若承包人违反国家及地方关于民工工资发放的规定引发劳务协作单位围堵等事件的，每发生一次，承包人向发包人支付【</w:t>
      </w:r>
      <w:r>
        <w:rPr>
          <w:rFonts w:hint="eastAsia" w:ascii="Times New Roman" w:hAnsi="Times New Roman" w:eastAsiaTheme="minorEastAsia"/>
          <w:color w:val="000000"/>
          <w:kern w:val="0"/>
          <w:sz w:val="24"/>
          <w:szCs w:val="32"/>
          <w:u w:val="single"/>
          <w:lang w:val="en-US" w:eastAsia="zh-CN"/>
        </w:rPr>
        <w:t>10000</w:t>
      </w:r>
      <w:r>
        <w:rPr>
          <w:rFonts w:hint="eastAsia" w:ascii="Times New Roman" w:hAnsi="Times New Roman" w:eastAsiaTheme="minorEastAsia"/>
          <w:color w:val="000000"/>
          <w:kern w:val="0"/>
          <w:sz w:val="24"/>
          <w:szCs w:val="32"/>
          <w:u w:val="single"/>
        </w:rPr>
        <w:t>】元违约金。</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（7）  承包人在施工过中的施工质量明显达不到相关规定、规范要求，承包人未按发包人及监理人整改通知书要求保质保量完成的，每发生一次，承包人向发包人支付【</w:t>
      </w:r>
      <w:r>
        <w:rPr>
          <w:rFonts w:hint="eastAsia" w:ascii="Times New Roman" w:hAnsi="Times New Roman" w:eastAsiaTheme="minorEastAsia"/>
          <w:color w:val="000000"/>
          <w:kern w:val="0"/>
          <w:sz w:val="24"/>
          <w:szCs w:val="32"/>
          <w:u w:val="single"/>
          <w:lang w:val="en-US" w:eastAsia="zh-CN"/>
        </w:rPr>
        <w:t>10000</w:t>
      </w:r>
      <w:r>
        <w:rPr>
          <w:rFonts w:hint="eastAsia" w:ascii="Times New Roman" w:hAnsi="Times New Roman" w:eastAsiaTheme="minorEastAsia"/>
          <w:color w:val="000000"/>
          <w:kern w:val="0"/>
          <w:sz w:val="24"/>
          <w:szCs w:val="32"/>
          <w:u w:val="single"/>
        </w:rPr>
        <w:t xml:space="preserve"> 】元违约金，直至整改符合要求。</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16.2.3 因承包人违约解除合同</w:t>
      </w:r>
    </w:p>
    <w:p>
      <w:pPr>
        <w:pageBreakBefore w:val="0"/>
        <w:widowControl w:val="0"/>
        <w:kinsoku/>
        <w:wordWrap/>
        <w:overflowPunct/>
        <w:topLinePunct w:val="0"/>
        <w:bidi w:val="0"/>
        <w:spacing w:before="120" w:after="120" w:line="480" w:lineRule="exact"/>
        <w:ind w:firstLine="480" w:firstLineChars="200"/>
        <w:rPr>
          <w:rFonts w:ascii="Times New Roman" w:hAnsi="Times New Roman" w:eastAsiaTheme="minorEastAsia"/>
          <w:color w:val="000000"/>
          <w:kern w:val="0"/>
          <w:sz w:val="24"/>
          <w:szCs w:val="32"/>
          <w:u w:val="single"/>
        </w:rPr>
      </w:pPr>
      <w:r>
        <w:rPr>
          <w:rFonts w:ascii="Times New Roman" w:hAnsi="Times New Roman" w:eastAsiaTheme="minorEastAsia"/>
          <w:color w:val="000000"/>
          <w:kern w:val="0"/>
          <w:sz w:val="24"/>
          <w:szCs w:val="32"/>
        </w:rPr>
        <w:t>关于承包人违约解除合同的特别约定：</w:t>
      </w:r>
    </w:p>
    <w:p>
      <w:pPr>
        <w:pageBreakBefore w:val="0"/>
        <w:widowControl w:val="0"/>
        <w:kinsoku/>
        <w:wordWrap/>
        <w:overflowPunct/>
        <w:topLinePunct w:val="0"/>
        <w:bidi w:val="0"/>
        <w:spacing w:before="120" w:after="120" w:line="480" w:lineRule="exact"/>
        <w:ind w:firstLine="480" w:firstLineChars="200"/>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  承包人未经发包人同意将本工程转包、分包，发包人有权解除合同；</w:t>
      </w:r>
    </w:p>
    <w:p>
      <w:pPr>
        <w:pageBreakBefore w:val="0"/>
        <w:widowControl w:val="0"/>
        <w:kinsoku/>
        <w:wordWrap/>
        <w:overflowPunct/>
        <w:topLinePunct w:val="0"/>
        <w:bidi w:val="0"/>
        <w:spacing w:before="120" w:after="120" w:line="480" w:lineRule="exact"/>
        <w:ind w:firstLine="480" w:firstLineChars="200"/>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（2）  承包人向发包人提供的单位资质证明、管理人员证照等文件不真实、无效，发包人有权终止合同，所完成的合格工程量于【</w:t>
      </w:r>
      <w:r>
        <w:rPr>
          <w:rFonts w:hint="eastAsia" w:ascii="Times New Roman" w:hAnsi="Times New Roman" w:eastAsiaTheme="minorEastAsia"/>
          <w:color w:val="000000"/>
          <w:kern w:val="0"/>
          <w:sz w:val="24"/>
          <w:szCs w:val="32"/>
          <w:u w:val="single"/>
          <w:lang w:val="en-US" w:eastAsia="zh-CN"/>
        </w:rPr>
        <w:t>/</w:t>
      </w:r>
      <w:r>
        <w:rPr>
          <w:rFonts w:hint="eastAsia" w:ascii="Times New Roman" w:hAnsi="Times New Roman" w:eastAsiaTheme="minorEastAsia"/>
          <w:color w:val="000000"/>
          <w:kern w:val="0"/>
          <w:sz w:val="24"/>
          <w:szCs w:val="32"/>
          <w:u w:val="single"/>
        </w:rPr>
        <w:t>】天内确认，如承包人不配合，则由发包人委托第三方进行确认，按所完成的合格工程量的【</w:t>
      </w:r>
      <w:r>
        <w:rPr>
          <w:rFonts w:hint="eastAsia" w:ascii="Times New Roman" w:hAnsi="Times New Roman" w:eastAsiaTheme="minorEastAsia"/>
          <w:color w:val="000000"/>
          <w:kern w:val="0"/>
          <w:sz w:val="24"/>
          <w:szCs w:val="32"/>
          <w:u w:val="single"/>
          <w:lang w:val="en-US" w:eastAsia="zh-CN"/>
        </w:rPr>
        <w:t>/</w:t>
      </w:r>
      <w:r>
        <w:rPr>
          <w:rFonts w:hint="eastAsia" w:ascii="Times New Roman" w:hAnsi="Times New Roman" w:eastAsiaTheme="minorEastAsia"/>
          <w:color w:val="000000"/>
          <w:kern w:val="0"/>
          <w:sz w:val="24"/>
          <w:szCs w:val="32"/>
          <w:u w:val="single"/>
        </w:rPr>
        <w:t>】%进行结算，同时发包人保留追究相关责任的权利；</w:t>
      </w:r>
    </w:p>
    <w:p>
      <w:pPr>
        <w:pageBreakBefore w:val="0"/>
        <w:widowControl w:val="0"/>
        <w:kinsoku/>
        <w:wordWrap/>
        <w:overflowPunct/>
        <w:topLinePunct w:val="0"/>
        <w:bidi w:val="0"/>
        <w:spacing w:before="120" w:after="120" w:line="480" w:lineRule="exact"/>
        <w:ind w:firstLine="480" w:firstLineChars="200"/>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（3）  因承包人原因工期严重滞后，在可预见的情况下，承包人无法按期竣工，发包人有权终止合同</w:t>
      </w:r>
      <w:r>
        <w:rPr>
          <w:rFonts w:ascii="Times New Roman" w:hAnsi="Times New Roman" w:eastAsiaTheme="minorEastAsia"/>
          <w:color w:val="000000"/>
          <w:kern w:val="0"/>
          <w:sz w:val="24"/>
          <w:szCs w:val="32"/>
          <w:u w:val="single"/>
        </w:rPr>
        <w:t>。</w:t>
      </w:r>
    </w:p>
    <w:p>
      <w:pPr>
        <w:pageBreakBefore w:val="0"/>
        <w:widowControl w:val="0"/>
        <w:kinsoku/>
        <w:wordWrap/>
        <w:overflowPunct/>
        <w:topLinePunct w:val="0"/>
        <w:bidi w:val="0"/>
        <w:spacing w:before="120" w:after="120" w:line="480" w:lineRule="exact"/>
        <w:ind w:firstLine="480" w:firstLineChars="200"/>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发包人</w:t>
      </w:r>
      <w:r>
        <w:rPr>
          <w:rFonts w:hint="eastAsia" w:ascii="Times New Roman" w:hAnsi="Times New Roman" w:eastAsiaTheme="minorEastAsia"/>
          <w:color w:val="000000"/>
          <w:kern w:val="0"/>
          <w:sz w:val="24"/>
          <w:szCs w:val="32"/>
        </w:rPr>
        <w:t>继续</w:t>
      </w:r>
      <w:r>
        <w:rPr>
          <w:rFonts w:ascii="Times New Roman" w:hAnsi="Times New Roman" w:eastAsiaTheme="minorEastAsia"/>
          <w:color w:val="000000"/>
          <w:kern w:val="0"/>
          <w:sz w:val="24"/>
          <w:szCs w:val="32"/>
        </w:rPr>
        <w:t>使用承包人在施工现场的材料、设备、临时工程、承包人文件和由承包人或以其名义编制的其他文件</w:t>
      </w:r>
      <w:r>
        <w:rPr>
          <w:rFonts w:hint="eastAsia" w:ascii="Times New Roman" w:hAnsi="Times New Roman" w:eastAsiaTheme="minorEastAsia"/>
          <w:color w:val="000000"/>
          <w:kern w:val="0"/>
          <w:sz w:val="24"/>
          <w:szCs w:val="32"/>
        </w:rPr>
        <w:t>的费用承担方式</w:t>
      </w:r>
      <w:r>
        <w:rPr>
          <w:rFonts w:ascii="Times New Roman" w:hAnsi="Times New Roman" w:eastAsiaTheme="minorEastAsia"/>
          <w:color w:val="000000"/>
          <w:kern w:val="0"/>
          <w:sz w:val="24"/>
          <w:szCs w:val="32"/>
        </w:rPr>
        <w:t>：</w:t>
      </w:r>
      <w:r>
        <w:rPr>
          <w:rFonts w:hint="eastAsia" w:ascii="Times New Roman" w:hAnsi="Times New Roman" w:eastAsiaTheme="minorEastAsia"/>
          <w:color w:val="000000"/>
          <w:kern w:val="0"/>
          <w:sz w:val="24"/>
          <w:szCs w:val="32"/>
          <w:u w:val="single"/>
        </w:rPr>
        <w:t>双方另行协商</w:t>
      </w:r>
      <w:r>
        <w:rPr>
          <w:rFonts w:hint="eastAsia" w:ascii="Times New Roman" w:hAnsi="Times New Roman" w:eastAsiaTheme="minorEastAsia"/>
          <w:color w:val="000000"/>
          <w:kern w:val="0"/>
          <w:sz w:val="24"/>
          <w:szCs w:val="32"/>
        </w:rPr>
        <w:t>。</w:t>
      </w:r>
    </w:p>
    <w:p>
      <w:pPr>
        <w:pStyle w:val="4"/>
        <w:bidi w:val="0"/>
        <w:spacing w:line="480" w:lineRule="exact"/>
        <w:ind w:firstLine="480" w:firstLineChars="200"/>
        <w:rPr>
          <w:rFonts w:eastAsiaTheme="minorEastAsia"/>
        </w:rPr>
      </w:pPr>
      <w:bookmarkStart w:id="1064" w:name="_Toc11021"/>
      <w:r>
        <w:rPr>
          <w:rFonts w:eastAsiaTheme="minorEastAsia"/>
        </w:rPr>
        <w:t>17. 不可抗力</w:t>
      </w:r>
      <w:bookmarkEnd w:id="1064"/>
      <w:r>
        <w:rPr>
          <w:rFonts w:eastAsiaTheme="minorEastAsia"/>
        </w:rPr>
        <w:t xml:space="preserve"> </w:t>
      </w:r>
      <w:bookmarkEnd w:id="1060"/>
    </w:p>
    <w:p>
      <w:pPr>
        <w:pStyle w:val="5"/>
        <w:bidi w:val="0"/>
        <w:spacing w:line="480" w:lineRule="exact"/>
        <w:ind w:firstLine="480" w:firstLineChars="200"/>
        <w:rPr>
          <w:rFonts w:eastAsiaTheme="minorEastAsia"/>
        </w:rPr>
      </w:pPr>
      <w:bookmarkStart w:id="1065" w:name="_Toc4975"/>
      <w:r>
        <w:rPr>
          <w:rFonts w:eastAsiaTheme="minorEastAsia"/>
        </w:rPr>
        <w:t>17.1 不可抗力的确认</w:t>
      </w:r>
      <w:bookmarkEnd w:id="1065"/>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ascii="Times New Roman" w:hAnsi="Times New Roman" w:eastAsiaTheme="minorEastAsia"/>
          <w:color w:val="000000"/>
          <w:sz w:val="24"/>
          <w:szCs w:val="32"/>
        </w:rPr>
        <w:t xml:space="preserve">除通用合同条款约定的不可抗力事件之外，视为不可抗力的其他情形：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 xml:space="preserve">（1）  异常天气等自然灾害，如台风、洪水、地震、海啸、冰雹等；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 xml:space="preserve">（2）  政府行为，如戒严、征收、征用等；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（3）  社会异常事件，如瘟疫、骚乱、暴动、战争、罢工等  。</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自然灾害的范围及其认定方式，按如下约定执行：</w:t>
      </w:r>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（1）  异常天气：仅指50年（含50年）一遇以上的洪水、暴雨（连续8小时）或10级（含10级）以上的台风。</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u w:val="single"/>
        </w:rPr>
      </w:pPr>
      <w:r>
        <w:rPr>
          <w:rFonts w:hint="eastAsia" w:ascii="Times New Roman" w:hAnsi="Times New Roman" w:eastAsiaTheme="minorEastAsia"/>
          <w:color w:val="000000"/>
          <w:kern w:val="0"/>
          <w:sz w:val="24"/>
          <w:szCs w:val="32"/>
          <w:u w:val="single"/>
        </w:rPr>
        <w:t>（2）  里氏5级（含5级）以上的地震</w:t>
      </w:r>
      <w:r>
        <w:rPr>
          <w:rFonts w:ascii="Times New Roman" w:hAnsi="Times New Roman" w:eastAsiaTheme="minorEastAsia"/>
          <w:color w:val="000000"/>
          <w:kern w:val="0"/>
          <w:sz w:val="24"/>
          <w:szCs w:val="32"/>
          <w:u w:val="single"/>
        </w:rPr>
        <w:t>。</w:t>
      </w:r>
    </w:p>
    <w:p>
      <w:pPr>
        <w:pStyle w:val="5"/>
        <w:bidi w:val="0"/>
        <w:spacing w:line="480" w:lineRule="exact"/>
        <w:ind w:firstLine="480" w:firstLineChars="200"/>
        <w:rPr>
          <w:rFonts w:eastAsiaTheme="minorEastAsia"/>
        </w:rPr>
      </w:pPr>
      <w:bookmarkStart w:id="1066" w:name="_Toc6999"/>
      <w:r>
        <w:rPr>
          <w:rFonts w:eastAsiaTheme="minorEastAsia"/>
        </w:rPr>
        <w:t>17.4 因不可抗力解除合同</w:t>
      </w:r>
      <w:bookmarkEnd w:id="1066"/>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color w:val="000000"/>
          <w:sz w:val="24"/>
          <w:szCs w:val="32"/>
        </w:rPr>
        <w:t>合同解除后，发包人应在商定或确定发包人应支付款项后</w:t>
      </w:r>
      <w:r>
        <w:rPr>
          <w:rFonts w:hint="eastAsia" w:ascii="Times New Roman" w:hAnsi="Times New Roman" w:eastAsiaTheme="minorEastAsia"/>
          <w:color w:val="000000"/>
          <w:sz w:val="24"/>
          <w:szCs w:val="32"/>
          <w:u w:val="single"/>
        </w:rPr>
        <w:t>【</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w:t>
      </w:r>
      <w:r>
        <w:rPr>
          <w:rFonts w:ascii="Times New Roman" w:hAnsi="Times New Roman" w:eastAsiaTheme="minorEastAsia"/>
          <w:color w:val="000000"/>
          <w:sz w:val="24"/>
          <w:szCs w:val="32"/>
        </w:rPr>
        <w:t>天内完成款项的支付。</w:t>
      </w:r>
    </w:p>
    <w:p>
      <w:pPr>
        <w:pStyle w:val="4"/>
        <w:bidi w:val="0"/>
        <w:spacing w:line="480" w:lineRule="exact"/>
        <w:ind w:firstLine="480" w:firstLineChars="200"/>
        <w:rPr>
          <w:rFonts w:eastAsiaTheme="minorEastAsia"/>
        </w:rPr>
      </w:pPr>
      <w:bookmarkStart w:id="1067" w:name="_Toc22820"/>
      <w:r>
        <w:rPr>
          <w:rFonts w:eastAsiaTheme="minorEastAsia"/>
        </w:rPr>
        <w:t>18. 保险</w:t>
      </w:r>
      <w:bookmarkEnd w:id="1067"/>
    </w:p>
    <w:bookmarkEnd w:id="1061"/>
    <w:p>
      <w:pPr>
        <w:pStyle w:val="5"/>
        <w:bidi w:val="0"/>
        <w:spacing w:line="480" w:lineRule="exact"/>
        <w:ind w:firstLine="480" w:firstLineChars="200"/>
        <w:rPr>
          <w:rFonts w:eastAsiaTheme="minorEastAsia"/>
        </w:rPr>
      </w:pPr>
      <w:bookmarkStart w:id="1068" w:name="_Toc5406"/>
      <w:r>
        <w:rPr>
          <w:rFonts w:eastAsiaTheme="minorEastAsia"/>
        </w:rPr>
        <w:t>18.1 工程保险</w:t>
      </w:r>
      <w:bookmarkEnd w:id="1068"/>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rPr>
      </w:pPr>
      <w:r>
        <w:rPr>
          <w:rFonts w:ascii="Times New Roman" w:hAnsi="Times New Roman" w:eastAsiaTheme="minorEastAsia"/>
          <w:color w:val="000000"/>
          <w:sz w:val="24"/>
          <w:szCs w:val="32"/>
        </w:rPr>
        <w:t>关于工程保险的特别约定：</w:t>
      </w:r>
      <w:r>
        <w:rPr>
          <w:rFonts w:hint="eastAsia" w:ascii="Times New Roman" w:hAnsi="Times New Roman" w:eastAsiaTheme="minorEastAsia"/>
          <w:color w:val="000000"/>
          <w:kern w:val="0"/>
          <w:sz w:val="24"/>
          <w:szCs w:val="32"/>
          <w:u w:val="single"/>
        </w:rPr>
        <w:t>建筑工程一切险、安装工程一切险与第三方责任险的投保，由承包人购买，该费用已包含于合同价款中，不再另行计取。若在竣工备案、移交前项目发生保险责任内的损失，承包人未按要求投保的，一切损失（包括但不限于项目本身损失、由此造成后续节点延误引发的违约金、赔偿金，第三方损失等）由承包人承担。</w:t>
      </w:r>
    </w:p>
    <w:p>
      <w:pPr>
        <w:pStyle w:val="5"/>
        <w:bidi w:val="0"/>
        <w:spacing w:line="480" w:lineRule="exact"/>
        <w:ind w:firstLine="480" w:firstLineChars="200"/>
        <w:rPr>
          <w:rFonts w:eastAsiaTheme="minorEastAsia"/>
        </w:rPr>
      </w:pPr>
      <w:bookmarkStart w:id="1069" w:name="_Toc24380"/>
      <w:r>
        <w:rPr>
          <w:rFonts w:eastAsiaTheme="minorEastAsia"/>
        </w:rPr>
        <w:t>18.3 其他保险</w:t>
      </w:r>
      <w:bookmarkEnd w:id="1069"/>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sz w:val="24"/>
          <w:szCs w:val="32"/>
        </w:rPr>
        <w:t>关于其他保险的约定：</w:t>
      </w:r>
      <w:r>
        <w:rPr>
          <w:rFonts w:hint="eastAsia" w:ascii="Times New Roman" w:hAnsi="Times New Roman" w:eastAsiaTheme="minorEastAsia"/>
          <w:color w:val="000000"/>
          <w:kern w:val="0"/>
          <w:sz w:val="24"/>
          <w:szCs w:val="32"/>
          <w:u w:val="single"/>
        </w:rPr>
        <w:t>承包人应根据《安全生产责任保险实施办法》、其它国家和地方有关规定，为其现场施工与相关人员、办理“安全生产责任保险”、意外伤害保险、第三方责任险等保险，该费用包含于合同价款中，不另行计取</w:t>
      </w:r>
      <w:r>
        <w:rPr>
          <w:rFonts w:ascii="Times New Roman" w:hAnsi="Times New Roman" w:eastAsiaTheme="minorEastAsia"/>
          <w:color w:val="000000"/>
          <w:kern w:val="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kern w:val="0"/>
          <w:sz w:val="24"/>
          <w:szCs w:val="32"/>
        </w:rPr>
      </w:pPr>
      <w:r>
        <w:rPr>
          <w:rFonts w:ascii="Times New Roman" w:hAnsi="Times New Roman" w:eastAsiaTheme="minorEastAsia"/>
          <w:color w:val="000000"/>
          <w:sz w:val="24"/>
          <w:szCs w:val="32"/>
        </w:rPr>
        <w:t>承包人是否应为其施工设备等办理财产保险：</w:t>
      </w:r>
      <w:r>
        <w:rPr>
          <w:rFonts w:hint="eastAsia" w:ascii="Times New Roman" w:hAnsi="Times New Roman" w:eastAsiaTheme="minorEastAsia"/>
          <w:color w:val="000000"/>
          <w:sz w:val="24"/>
          <w:szCs w:val="32"/>
          <w:u w:val="single"/>
        </w:rPr>
        <w:t>双方另行协商</w:t>
      </w:r>
      <w:r>
        <w:rPr>
          <w:rFonts w:ascii="Times New Roman" w:hAnsi="Times New Roman" w:eastAsiaTheme="minorEastAsia"/>
          <w:color w:val="000000"/>
          <w:sz w:val="24"/>
          <w:szCs w:val="32"/>
        </w:rPr>
        <w:t>。</w:t>
      </w:r>
    </w:p>
    <w:p>
      <w:pPr>
        <w:pStyle w:val="5"/>
        <w:bidi w:val="0"/>
        <w:spacing w:line="480" w:lineRule="exact"/>
        <w:ind w:firstLine="480" w:firstLineChars="200"/>
        <w:rPr>
          <w:rFonts w:eastAsiaTheme="minorEastAsia"/>
        </w:rPr>
      </w:pPr>
      <w:bookmarkStart w:id="1070" w:name="_Toc11313"/>
      <w:r>
        <w:rPr>
          <w:rFonts w:eastAsiaTheme="minorEastAsia"/>
        </w:rPr>
        <w:t>18.7 通知义务</w:t>
      </w:r>
      <w:bookmarkEnd w:id="1070"/>
    </w:p>
    <w:p>
      <w:pPr>
        <w:pageBreakBefore w:val="0"/>
        <w:widowControl w:val="0"/>
        <w:kinsoku/>
        <w:wordWrap/>
        <w:overflowPunct/>
        <w:topLinePunct w:val="0"/>
        <w:bidi w:val="0"/>
        <w:spacing w:line="480" w:lineRule="exact"/>
        <w:ind w:firstLine="480" w:firstLineChars="200"/>
        <w:jc w:val="left"/>
        <w:rPr>
          <w:rFonts w:hint="eastAsia" w:ascii="Times New Roman" w:hAnsi="Times New Roman" w:eastAsiaTheme="minorEastAsia"/>
          <w:color w:val="000000"/>
          <w:sz w:val="24"/>
          <w:szCs w:val="32"/>
          <w:u w:val="single"/>
        </w:rPr>
      </w:pPr>
      <w:r>
        <w:rPr>
          <w:rFonts w:ascii="Times New Roman" w:hAnsi="Times New Roman" w:eastAsiaTheme="minorEastAsia"/>
          <w:color w:val="000000"/>
          <w:kern w:val="0"/>
          <w:sz w:val="24"/>
          <w:szCs w:val="32"/>
        </w:rPr>
        <w:t>关于变更保险合同时的通知义务的约定：</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p>
    <w:bookmarkEnd w:id="1034"/>
    <w:bookmarkEnd w:id="1035"/>
    <w:bookmarkEnd w:id="1036"/>
    <w:bookmarkEnd w:id="1037"/>
    <w:bookmarkEnd w:id="1038"/>
    <w:bookmarkEnd w:id="1039"/>
    <w:bookmarkEnd w:id="1040"/>
    <w:bookmarkEnd w:id="1041"/>
    <w:bookmarkEnd w:id="1042"/>
    <w:bookmarkEnd w:id="1043"/>
    <w:bookmarkEnd w:id="1044"/>
    <w:bookmarkEnd w:id="1045"/>
    <w:p>
      <w:pPr>
        <w:pStyle w:val="4"/>
        <w:bidi w:val="0"/>
        <w:spacing w:line="480" w:lineRule="exact"/>
        <w:ind w:firstLine="480" w:firstLineChars="200"/>
        <w:rPr>
          <w:rFonts w:eastAsiaTheme="minorEastAsia"/>
        </w:rPr>
      </w:pPr>
      <w:bookmarkStart w:id="1071" w:name="_Toc4882"/>
      <w:r>
        <w:rPr>
          <w:rFonts w:eastAsiaTheme="minorEastAsia"/>
        </w:rPr>
        <w:t>20. 争议解决</w:t>
      </w:r>
      <w:bookmarkEnd w:id="1071"/>
    </w:p>
    <w:bookmarkEnd w:id="1046"/>
    <w:bookmarkEnd w:id="1047"/>
    <w:p>
      <w:pPr>
        <w:pStyle w:val="5"/>
        <w:bidi w:val="0"/>
        <w:spacing w:line="480" w:lineRule="exact"/>
        <w:ind w:firstLine="480" w:firstLineChars="200"/>
        <w:rPr>
          <w:rFonts w:eastAsiaTheme="minorEastAsia"/>
        </w:rPr>
      </w:pPr>
      <w:bookmarkStart w:id="1072" w:name="_Toc17954"/>
      <w:r>
        <w:rPr>
          <w:rFonts w:eastAsiaTheme="minorEastAsia"/>
        </w:rPr>
        <w:t>20.3 争</w:t>
      </w:r>
      <w:bookmarkEnd w:id="1048"/>
      <w:r>
        <w:rPr>
          <w:rFonts w:eastAsiaTheme="minorEastAsia"/>
        </w:rPr>
        <w:t>议评审</w:t>
      </w:r>
      <w:bookmarkEnd w:id="1072"/>
    </w:p>
    <w:p>
      <w:pPr>
        <w:pageBreakBefore w:val="0"/>
        <w:widowControl w:val="0"/>
        <w:kinsoku/>
        <w:wordWrap/>
        <w:overflowPunct/>
        <w:topLinePunct w:val="0"/>
        <w:bidi w:val="0"/>
        <w:spacing w:line="480" w:lineRule="exact"/>
        <w:ind w:left="170" w:leftChars="71" w:firstLine="480" w:firstLineChars="200"/>
        <w:jc w:val="left"/>
        <w:rPr>
          <w:rFonts w:hint="eastAsia" w:ascii="Times New Roman" w:hAnsi="Times New Roman" w:eastAsiaTheme="minorEastAsia"/>
          <w:color w:val="000000"/>
          <w:sz w:val="24"/>
          <w:szCs w:val="32"/>
          <w:u w:val="single"/>
        </w:rPr>
      </w:pPr>
      <w:r>
        <w:rPr>
          <w:rFonts w:ascii="Times New Roman" w:hAnsi="Times New Roman" w:eastAsiaTheme="minorEastAsia"/>
          <w:color w:val="000000"/>
          <w:sz w:val="24"/>
          <w:szCs w:val="32"/>
        </w:rPr>
        <w:t>合同当事人是否同意将工程争议提交争议评审小组决</w:t>
      </w:r>
      <w:r>
        <w:rPr>
          <w:rFonts w:hint="eastAsia" w:ascii="Times New Roman" w:hAnsi="Times New Roman" w:eastAsiaTheme="minorEastAsia"/>
          <w:color w:val="000000"/>
          <w:sz w:val="24"/>
          <w:szCs w:val="32"/>
        </w:rPr>
        <w:t>定：</w:t>
      </w:r>
      <w:r>
        <w:rPr>
          <w:rFonts w:hint="eastAsia" w:ascii="Times New Roman" w:hAnsi="Times New Roman" w:eastAsiaTheme="minorEastAsia"/>
          <w:color w:val="000000"/>
          <w:sz w:val="24"/>
          <w:szCs w:val="32"/>
          <w:u w:val="single"/>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hint="eastAsia"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rPr>
        <w:t xml:space="preserve">。  </w:t>
      </w:r>
    </w:p>
    <w:p>
      <w:pPr>
        <w:pageBreakBefore w:val="0"/>
        <w:widowControl w:val="0"/>
        <w:kinsoku/>
        <w:wordWrap/>
        <w:overflowPunct/>
        <w:topLinePunct w:val="0"/>
        <w:bidi w:val="0"/>
        <w:spacing w:line="480" w:lineRule="exact"/>
        <w:ind w:firstLine="480" w:firstLineChars="200"/>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20.3.1 争议评审小组的确定</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u w:val="single"/>
        </w:rPr>
      </w:pPr>
      <w:r>
        <w:rPr>
          <w:rFonts w:ascii="Times New Roman" w:hAnsi="Times New Roman" w:eastAsiaTheme="minorEastAsia"/>
          <w:color w:val="000000"/>
          <w:sz w:val="24"/>
          <w:szCs w:val="32"/>
        </w:rPr>
        <w:t>争议评审小组成员的确定：</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选定争议评审员的期限：</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争议评审小组成员的报酬承担方式：</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其他事项的约定：</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ageBreakBefore w:val="0"/>
        <w:widowControl w:val="0"/>
        <w:kinsoku/>
        <w:wordWrap/>
        <w:overflowPunct/>
        <w:topLinePunct w:val="0"/>
        <w:autoSpaceDE w:val="0"/>
        <w:autoSpaceDN w:val="0"/>
        <w:bidi w:val="0"/>
        <w:adjustRightInd w:val="0"/>
        <w:spacing w:line="480" w:lineRule="exact"/>
        <w:ind w:firstLine="480" w:firstLineChars="200"/>
        <w:jc w:val="left"/>
        <w:outlineLvl w:val="9"/>
        <w:rPr>
          <w:rFonts w:ascii="Times New Roman" w:hAnsi="Times New Roman" w:eastAsiaTheme="minorEastAsia"/>
          <w:color w:val="000000"/>
          <w:kern w:val="0"/>
          <w:sz w:val="24"/>
          <w:szCs w:val="32"/>
        </w:rPr>
      </w:pPr>
      <w:r>
        <w:rPr>
          <w:rFonts w:ascii="Times New Roman" w:hAnsi="Times New Roman" w:eastAsiaTheme="minorEastAsia"/>
          <w:color w:val="000000"/>
          <w:kern w:val="0"/>
          <w:sz w:val="24"/>
          <w:szCs w:val="32"/>
        </w:rPr>
        <w:t>20.3.2 争议评审小组的决定</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2"/>
        </w:rPr>
      </w:pPr>
      <w:r>
        <w:rPr>
          <w:rFonts w:ascii="Times New Roman" w:hAnsi="Times New Roman" w:eastAsiaTheme="minorEastAsia"/>
          <w:color w:val="000000"/>
          <w:sz w:val="24"/>
          <w:szCs w:val="32"/>
        </w:rPr>
        <w:t>合同当事人关于本项的约定：</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lang w:val="en-US" w:eastAsia="zh-CN"/>
        </w:rPr>
        <w:t>/</w:t>
      </w:r>
      <w:r>
        <w:rPr>
          <w:rFonts w:ascii="Times New Roman" w:hAnsi="Times New Roman" w:eastAsiaTheme="minorEastAsia"/>
          <w:color w:val="000000"/>
          <w:sz w:val="24"/>
          <w:szCs w:val="32"/>
          <w:u w:val="single"/>
        </w:rPr>
        <w:t xml:space="preserve">           </w:t>
      </w:r>
      <w:r>
        <w:rPr>
          <w:rFonts w:hint="eastAsia"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u w:val="single"/>
        </w:rPr>
        <w:t xml:space="preserve">  </w:t>
      </w:r>
      <w:r>
        <w:rPr>
          <w:rFonts w:ascii="Times New Roman" w:hAnsi="Times New Roman" w:eastAsiaTheme="minorEastAsia"/>
          <w:color w:val="000000"/>
          <w:sz w:val="24"/>
          <w:szCs w:val="32"/>
        </w:rPr>
        <w:t>。</w:t>
      </w:r>
    </w:p>
    <w:p>
      <w:pPr>
        <w:pStyle w:val="5"/>
        <w:bidi w:val="0"/>
        <w:spacing w:line="480" w:lineRule="exact"/>
        <w:ind w:firstLine="480" w:firstLineChars="200"/>
        <w:rPr>
          <w:rFonts w:hint="eastAsia" w:eastAsiaTheme="minorEastAsia"/>
        </w:rPr>
      </w:pPr>
      <w:bookmarkStart w:id="1073" w:name="_Toc17163"/>
      <w:r>
        <w:rPr>
          <w:rFonts w:eastAsiaTheme="minorEastAsia"/>
        </w:rPr>
        <w:t>20.4仲裁或诉讼</w:t>
      </w:r>
      <w:bookmarkEnd w:id="1049"/>
      <w:bookmarkEnd w:id="1073"/>
    </w:p>
    <w:p>
      <w:pPr>
        <w:pageBreakBefore w:val="0"/>
        <w:widowControl w:val="0"/>
        <w:kinsoku/>
        <w:wordWrap/>
        <w:overflowPunct/>
        <w:topLinePunct w:val="0"/>
        <w:bidi w:val="0"/>
        <w:spacing w:after="120" w:line="480" w:lineRule="exact"/>
        <w:ind w:firstLine="480" w:firstLineChars="200"/>
        <w:rPr>
          <w:rFonts w:ascii="Times New Roman" w:hAnsi="Times New Roman" w:eastAsiaTheme="minorEastAsia"/>
          <w:color w:val="000000"/>
          <w:sz w:val="24"/>
          <w:szCs w:val="32"/>
        </w:rPr>
      </w:pPr>
      <w:r>
        <w:rPr>
          <w:rFonts w:ascii="Times New Roman" w:hAnsi="Times New Roman" w:eastAsiaTheme="minorEastAsia"/>
          <w:color w:val="000000"/>
          <w:sz w:val="24"/>
          <w:szCs w:val="32"/>
        </w:rPr>
        <w:t>因合同及合同有关事项发生的争议，按下列第</w:t>
      </w:r>
      <w:r>
        <w:rPr>
          <w:rFonts w:hint="eastAsia" w:ascii="Times New Roman" w:hAnsi="Times New Roman" w:eastAsiaTheme="minorEastAsia"/>
          <w:color w:val="000000"/>
          <w:sz w:val="24"/>
          <w:szCs w:val="32"/>
          <w:lang w:val="en-US" w:eastAsia="zh-CN"/>
        </w:rPr>
        <w:t>下列</w:t>
      </w:r>
      <w:r>
        <w:rPr>
          <w:rFonts w:ascii="Times New Roman" w:hAnsi="Times New Roman" w:eastAsiaTheme="minorEastAsia"/>
          <w:color w:val="000000"/>
          <w:sz w:val="24"/>
          <w:szCs w:val="32"/>
        </w:rPr>
        <w:t>方式</w:t>
      </w:r>
      <w:r>
        <w:rPr>
          <w:rFonts w:hint="eastAsia" w:ascii="Times New Roman" w:hAnsi="Times New Roman" w:eastAsiaTheme="minorEastAsia"/>
          <w:color w:val="000000"/>
          <w:sz w:val="24"/>
          <w:szCs w:val="32"/>
        </w:rPr>
        <w:t>解</w:t>
      </w:r>
      <w:r>
        <w:rPr>
          <w:rFonts w:ascii="Times New Roman" w:hAnsi="Times New Roman" w:eastAsiaTheme="minorEastAsia"/>
          <w:color w:val="000000"/>
          <w:sz w:val="24"/>
          <w:szCs w:val="32"/>
        </w:rPr>
        <w:t>决：</w:t>
      </w:r>
    </w:p>
    <w:p>
      <w:pPr>
        <w:pageBreakBefore w:val="0"/>
        <w:widowControl/>
        <w:kinsoku/>
        <w:wordWrap/>
        <w:overflowPunct/>
        <w:topLinePunct w:val="0"/>
        <w:autoSpaceDE w:val="0"/>
        <w:autoSpaceDN w:val="0"/>
        <w:bidi w:val="0"/>
        <w:adjustRightInd w:val="0"/>
        <w:spacing w:line="480" w:lineRule="exact"/>
        <w:ind w:firstLine="480" w:firstLineChars="200"/>
        <w:jc w:val="left"/>
        <w:rPr>
          <w:rFonts w:hint="eastAsia" w:asciiTheme="minorEastAsia" w:hAnsiTheme="minorEastAsia" w:eastAsiaTheme="minorEastAsia" w:cstheme="minorEastAsia"/>
          <w:color w:val="000000"/>
          <w:sz w:val="24"/>
          <w:szCs w:val="32"/>
        </w:rPr>
      </w:pPr>
      <w:r>
        <w:rPr>
          <w:rFonts w:hint="eastAsia" w:asciiTheme="minorEastAsia" w:hAnsiTheme="minorEastAsia" w:eastAsiaTheme="minorEastAsia" w:cstheme="minorEastAsia"/>
          <w:color w:val="000000"/>
          <w:sz w:val="24"/>
          <w:szCs w:val="32"/>
        </w:rPr>
        <w:t>（</w:t>
      </w:r>
      <w:r>
        <w:rPr>
          <w:rFonts w:hint="eastAsia" w:asciiTheme="minorEastAsia" w:hAnsiTheme="minorEastAsia" w:eastAsiaTheme="minorEastAsia" w:cstheme="minorEastAsia"/>
          <w:color w:val="000000"/>
          <w:sz w:val="24"/>
          <w:szCs w:val="32"/>
          <w:lang w:val="en-US" w:eastAsia="zh-CN"/>
        </w:rPr>
        <w:t>1</w:t>
      </w:r>
      <w:r>
        <w:rPr>
          <w:rFonts w:hint="eastAsia" w:asciiTheme="minorEastAsia" w:hAnsiTheme="minorEastAsia" w:eastAsiaTheme="minorEastAsia" w:cstheme="minorEastAsia"/>
          <w:color w:val="000000"/>
          <w:sz w:val="24"/>
          <w:szCs w:val="32"/>
        </w:rPr>
        <w:t>）向</w:t>
      </w:r>
      <w:r>
        <w:rPr>
          <w:rFonts w:hint="eastAsia" w:asciiTheme="minorEastAsia" w:hAnsiTheme="minorEastAsia" w:eastAsiaTheme="minorEastAsia" w:cstheme="minorEastAsia"/>
          <w:color w:val="000000"/>
          <w:sz w:val="24"/>
          <w:szCs w:val="32"/>
          <w:u w:val="single"/>
        </w:rPr>
        <w:t>项目所在地</w:t>
      </w:r>
      <w:r>
        <w:rPr>
          <w:rFonts w:hint="eastAsia" w:asciiTheme="minorEastAsia" w:hAnsiTheme="minorEastAsia" w:eastAsiaTheme="minorEastAsia" w:cstheme="minorEastAsia"/>
          <w:color w:val="000000"/>
          <w:sz w:val="24"/>
          <w:szCs w:val="32"/>
        </w:rPr>
        <w:t>人民法院起诉。</w:t>
      </w:r>
      <w:bookmarkEnd w:id="1050"/>
      <w:bookmarkEnd w:id="1051"/>
      <w:bookmarkEnd w:id="1052"/>
      <w:bookmarkEnd w:id="1053"/>
      <w:bookmarkEnd w:id="1054"/>
      <w:bookmarkEnd w:id="1055"/>
    </w:p>
    <w:p>
      <w:pPr>
        <w:pStyle w:val="3"/>
        <w:bidi w:val="0"/>
        <w:spacing w:line="480" w:lineRule="exact"/>
        <w:outlineLvl w:val="0"/>
        <w:rPr>
          <w:rFonts w:eastAsiaTheme="minorEastAsia"/>
        </w:rPr>
      </w:pPr>
      <w:r>
        <w:br w:type="page"/>
      </w:r>
      <w:bookmarkStart w:id="1074" w:name="_Toc25198"/>
      <w:r>
        <w:rPr>
          <w:rFonts w:eastAsiaTheme="minorEastAsia"/>
        </w:rPr>
        <w:t>附件</w:t>
      </w:r>
      <w:bookmarkEnd w:id="1074"/>
    </w:p>
    <w:p>
      <w:pPr>
        <w:pageBreakBefore w:val="0"/>
        <w:widowControl w:val="0"/>
        <w:kinsoku/>
        <w:wordWrap/>
        <w:overflowPunct/>
        <w:topLinePunct w:val="0"/>
        <w:bidi w:val="0"/>
        <w:spacing w:line="480" w:lineRule="exact"/>
        <w:jc w:val="left"/>
        <w:outlineLvl w:val="9"/>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协议书附件：</w:t>
      </w:r>
    </w:p>
    <w:p>
      <w:pPr>
        <w:pageBreakBefore w:val="0"/>
        <w:widowControl w:val="0"/>
        <w:kinsoku/>
        <w:wordWrap/>
        <w:overflowPunct/>
        <w:topLinePunct w:val="0"/>
        <w:bidi w:val="0"/>
        <w:spacing w:line="480" w:lineRule="exact"/>
        <w:jc w:val="left"/>
        <w:outlineLvl w:val="9"/>
        <w:rPr>
          <w:rFonts w:hint="eastAsia" w:ascii="Times New Roman" w:hAnsi="Times New Roman" w:cs="Times New Roman" w:eastAsiaTheme="minorEastAsia"/>
          <w:color w:val="000000"/>
          <w:sz w:val="24"/>
          <w:szCs w:val="32"/>
        </w:rPr>
      </w:pPr>
      <w:r>
        <w:rPr>
          <w:rFonts w:hint="eastAsia" w:ascii="Times New Roman" w:hAnsi="Times New Roman" w:cs="Times New Roman" w:eastAsiaTheme="minorEastAsia"/>
          <w:color w:val="000000"/>
          <w:sz w:val="24"/>
          <w:szCs w:val="32"/>
        </w:rPr>
        <w:t>附件1：承包人承揽工程项目一览表</w:t>
      </w:r>
    </w:p>
    <w:p>
      <w:pPr>
        <w:pageBreakBefore w:val="0"/>
        <w:widowControl w:val="0"/>
        <w:kinsoku/>
        <w:wordWrap/>
        <w:overflowPunct/>
        <w:topLinePunct w:val="0"/>
        <w:bidi w:val="0"/>
        <w:spacing w:line="480" w:lineRule="exact"/>
        <w:jc w:val="left"/>
        <w:outlineLvl w:val="9"/>
        <w:rPr>
          <w:rFonts w:hint="eastAsia" w:ascii="Times New Roman" w:hAnsi="Times New Roman" w:eastAsiaTheme="minorEastAsia"/>
          <w:color w:val="000000"/>
          <w:sz w:val="24"/>
          <w:szCs w:val="32"/>
        </w:rPr>
      </w:pPr>
      <w:r>
        <w:rPr>
          <w:rFonts w:hint="eastAsia" w:ascii="Times New Roman" w:hAnsi="Times New Roman" w:eastAsiaTheme="minorEastAsia"/>
          <w:color w:val="000000"/>
          <w:sz w:val="24"/>
          <w:szCs w:val="32"/>
        </w:rPr>
        <w:t>专用合同条款附件：</w:t>
      </w:r>
    </w:p>
    <w:p>
      <w:pPr>
        <w:pageBreakBefore w:val="0"/>
        <w:widowControl w:val="0"/>
        <w:kinsoku/>
        <w:wordWrap/>
        <w:overflowPunct/>
        <w:topLinePunct w:val="0"/>
        <w:bidi w:val="0"/>
        <w:spacing w:line="480" w:lineRule="exact"/>
        <w:jc w:val="left"/>
        <w:outlineLvl w:val="9"/>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附件2：保廉合同</w:t>
      </w:r>
    </w:p>
    <w:p>
      <w:pPr>
        <w:pageBreakBefore w:val="0"/>
        <w:widowControl w:val="0"/>
        <w:kinsoku/>
        <w:wordWrap/>
        <w:overflowPunct/>
        <w:topLinePunct w:val="0"/>
        <w:bidi w:val="0"/>
        <w:spacing w:line="480" w:lineRule="exact"/>
        <w:jc w:val="left"/>
        <w:outlineLvl w:val="9"/>
        <w:rPr>
          <w:rFonts w:ascii="Times New Roman" w:hAnsi="Times New Roman" w:eastAsiaTheme="minorEastAsia"/>
          <w:color w:val="000000"/>
          <w:sz w:val="24"/>
          <w:szCs w:val="32"/>
        </w:rPr>
      </w:pPr>
      <w:r>
        <w:rPr>
          <w:rFonts w:hint="eastAsia" w:ascii="Times New Roman" w:hAnsi="Times New Roman" w:eastAsiaTheme="minorEastAsia"/>
          <w:color w:val="000000"/>
          <w:sz w:val="24"/>
          <w:szCs w:val="32"/>
        </w:rPr>
        <w:t>附件3：安全生产协议书</w:t>
      </w:r>
    </w:p>
    <w:p>
      <w:pPr>
        <w:pageBreakBefore w:val="0"/>
        <w:widowControl w:val="0"/>
        <w:kinsoku/>
        <w:wordWrap/>
        <w:overflowPunct/>
        <w:topLinePunct w:val="0"/>
        <w:bidi w:val="0"/>
        <w:spacing w:line="480" w:lineRule="exact"/>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附件</w:t>
      </w:r>
      <w:r>
        <w:rPr>
          <w:rFonts w:hint="eastAsia" w:ascii="Times New Roman" w:hAnsi="Times New Roman" w:eastAsiaTheme="minorEastAsia"/>
          <w:color w:val="000000"/>
          <w:sz w:val="24"/>
          <w:szCs w:val="32"/>
          <w:lang w:val="en-US" w:eastAsia="zh-CN"/>
        </w:rPr>
        <w:t>4</w:t>
      </w:r>
      <w:r>
        <w:rPr>
          <w:rFonts w:ascii="Times New Roman" w:hAnsi="Times New Roman" w:eastAsiaTheme="minorEastAsia"/>
          <w:color w:val="000000"/>
          <w:sz w:val="24"/>
          <w:szCs w:val="32"/>
        </w:rPr>
        <w:t>：工程质量保修书</w:t>
      </w:r>
    </w:p>
    <w:p>
      <w:pPr>
        <w:pageBreakBefore w:val="0"/>
        <w:widowControl w:val="0"/>
        <w:kinsoku/>
        <w:wordWrap/>
        <w:overflowPunct/>
        <w:topLinePunct w:val="0"/>
        <w:bidi w:val="0"/>
        <w:spacing w:line="480" w:lineRule="exact"/>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附件</w:t>
      </w:r>
      <w:r>
        <w:rPr>
          <w:rFonts w:hint="eastAsia" w:ascii="Times New Roman" w:hAnsi="Times New Roman" w:eastAsiaTheme="minorEastAsia"/>
          <w:color w:val="000000"/>
          <w:sz w:val="24"/>
          <w:szCs w:val="32"/>
          <w:lang w:val="en-US" w:eastAsia="zh-CN"/>
        </w:rPr>
        <w:t>5</w:t>
      </w:r>
      <w:r>
        <w:rPr>
          <w:rFonts w:ascii="Times New Roman" w:hAnsi="Times New Roman" w:eastAsiaTheme="minorEastAsia"/>
          <w:color w:val="000000"/>
          <w:sz w:val="24"/>
          <w:szCs w:val="32"/>
        </w:rPr>
        <w:t>：主要建设工程文件目录</w:t>
      </w:r>
    </w:p>
    <w:p>
      <w:pPr>
        <w:pageBreakBefore w:val="0"/>
        <w:widowControl w:val="0"/>
        <w:kinsoku/>
        <w:wordWrap/>
        <w:overflowPunct/>
        <w:topLinePunct w:val="0"/>
        <w:bidi w:val="0"/>
        <w:spacing w:line="480" w:lineRule="exact"/>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附件</w:t>
      </w:r>
      <w:r>
        <w:rPr>
          <w:rFonts w:hint="eastAsia" w:ascii="Times New Roman" w:hAnsi="Times New Roman" w:eastAsiaTheme="minorEastAsia"/>
          <w:color w:val="000000"/>
          <w:sz w:val="24"/>
          <w:szCs w:val="32"/>
          <w:lang w:val="en-US" w:eastAsia="zh-CN"/>
        </w:rPr>
        <w:t>6</w:t>
      </w:r>
      <w:r>
        <w:rPr>
          <w:rFonts w:ascii="Times New Roman" w:hAnsi="Times New Roman" w:eastAsiaTheme="minorEastAsia"/>
          <w:color w:val="000000"/>
          <w:sz w:val="24"/>
          <w:szCs w:val="32"/>
        </w:rPr>
        <w:t>：承包人用于本工程施工的机械设备表</w:t>
      </w:r>
    </w:p>
    <w:p>
      <w:pPr>
        <w:pageBreakBefore w:val="0"/>
        <w:widowControl w:val="0"/>
        <w:kinsoku/>
        <w:wordWrap/>
        <w:overflowPunct/>
        <w:topLinePunct w:val="0"/>
        <w:bidi w:val="0"/>
        <w:spacing w:line="480" w:lineRule="exact"/>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附件</w:t>
      </w:r>
      <w:r>
        <w:rPr>
          <w:rFonts w:hint="eastAsia" w:ascii="Times New Roman" w:hAnsi="Times New Roman" w:eastAsiaTheme="minorEastAsia"/>
          <w:color w:val="000000"/>
          <w:sz w:val="24"/>
          <w:szCs w:val="32"/>
          <w:lang w:val="en-US" w:eastAsia="zh-CN"/>
        </w:rPr>
        <w:t>7</w:t>
      </w:r>
      <w:r>
        <w:rPr>
          <w:rFonts w:ascii="Times New Roman" w:hAnsi="Times New Roman" w:eastAsiaTheme="minorEastAsia"/>
          <w:color w:val="000000"/>
          <w:sz w:val="24"/>
          <w:szCs w:val="32"/>
        </w:rPr>
        <w:t>：承包人主要施工管理人员表</w:t>
      </w:r>
    </w:p>
    <w:p>
      <w:pPr>
        <w:pageBreakBefore w:val="0"/>
        <w:widowControl w:val="0"/>
        <w:kinsoku/>
        <w:wordWrap/>
        <w:overflowPunct/>
        <w:topLinePunct w:val="0"/>
        <w:bidi w:val="0"/>
        <w:spacing w:line="480" w:lineRule="exact"/>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附件</w:t>
      </w:r>
      <w:r>
        <w:rPr>
          <w:rFonts w:hint="eastAsia" w:ascii="Times New Roman" w:hAnsi="Times New Roman" w:eastAsiaTheme="minorEastAsia"/>
          <w:color w:val="000000"/>
          <w:sz w:val="24"/>
          <w:szCs w:val="32"/>
          <w:lang w:val="en-US" w:eastAsia="zh-CN"/>
        </w:rPr>
        <w:t>8</w:t>
      </w:r>
      <w:r>
        <w:rPr>
          <w:rFonts w:ascii="Times New Roman" w:hAnsi="Times New Roman" w:eastAsiaTheme="minorEastAsia"/>
          <w:color w:val="000000"/>
          <w:sz w:val="24"/>
          <w:szCs w:val="32"/>
        </w:rPr>
        <w:t>：分包人主要施工管理人员表</w:t>
      </w:r>
    </w:p>
    <w:p>
      <w:pPr>
        <w:pageBreakBefore w:val="0"/>
        <w:widowControl w:val="0"/>
        <w:kinsoku/>
        <w:wordWrap/>
        <w:overflowPunct/>
        <w:topLinePunct w:val="0"/>
        <w:bidi w:val="0"/>
        <w:spacing w:line="480" w:lineRule="exact"/>
        <w:jc w:val="left"/>
        <w:outlineLvl w:val="9"/>
        <w:rPr>
          <w:rFonts w:ascii="Times New Roman" w:hAnsi="Times New Roman" w:eastAsiaTheme="minorEastAsia"/>
          <w:color w:val="000000"/>
          <w:sz w:val="24"/>
          <w:szCs w:val="32"/>
        </w:rPr>
      </w:pPr>
      <w:r>
        <w:rPr>
          <w:rFonts w:ascii="Times New Roman" w:hAnsi="Times New Roman" w:eastAsiaTheme="minorEastAsia"/>
          <w:color w:val="000000"/>
          <w:sz w:val="24"/>
          <w:szCs w:val="32"/>
        </w:rPr>
        <w:t>附件</w:t>
      </w:r>
      <w:r>
        <w:rPr>
          <w:rFonts w:hint="eastAsia" w:ascii="Times New Roman" w:hAnsi="Times New Roman" w:eastAsiaTheme="minorEastAsia"/>
          <w:color w:val="000000"/>
          <w:sz w:val="24"/>
          <w:szCs w:val="32"/>
          <w:lang w:val="en-US" w:eastAsia="zh-CN"/>
        </w:rPr>
        <w:t>9</w:t>
      </w:r>
      <w:r>
        <w:rPr>
          <w:rFonts w:ascii="Times New Roman" w:hAnsi="Times New Roman" w:eastAsiaTheme="minorEastAsia"/>
          <w:color w:val="000000"/>
          <w:sz w:val="24"/>
          <w:szCs w:val="32"/>
        </w:rPr>
        <w:t>：暂估价一览表</w:t>
      </w: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before="156" w:beforeLines="50" w:after="156" w:afterLines="50" w:line="560" w:lineRule="exact"/>
        <w:jc w:val="left"/>
        <w:rPr>
          <w:rFonts w:hint="eastAsia" w:ascii="仿宋_GB2312" w:hAnsi="Times New Roman" w:eastAsia="仿宋_GB2312"/>
          <w:color w:val="000000"/>
          <w:sz w:val="30"/>
          <w:szCs w:val="30"/>
        </w:rPr>
        <w:sectPr>
          <w:pgSz w:w="11906" w:h="16838"/>
          <w:pgMar w:top="1418" w:right="1531" w:bottom="1418" w:left="1554" w:header="851" w:footer="992" w:gutter="0"/>
          <w:pgBorders>
            <w:top w:val="none" w:sz="0" w:space="0"/>
            <w:left w:val="none" w:sz="0" w:space="0"/>
            <w:bottom w:val="none" w:sz="0" w:space="0"/>
            <w:right w:val="none" w:sz="0" w:space="0"/>
          </w:pgBorders>
          <w:cols w:space="720" w:num="1"/>
          <w:titlePg/>
          <w:docGrid w:type="linesAndChars" w:linePitch="312" w:charSpace="0"/>
        </w:sectPr>
      </w:pPr>
    </w:p>
    <w:p>
      <w:pPr>
        <w:pStyle w:val="4"/>
        <w:bidi w:val="0"/>
        <w:jc w:val="center"/>
        <w:outlineLvl w:val="1"/>
        <w:rPr>
          <w:rFonts w:hint="eastAsia" w:eastAsiaTheme="minorEastAsia"/>
        </w:rPr>
      </w:pPr>
      <w:bookmarkStart w:id="1075" w:name="_Toc30877"/>
      <w:r>
        <w:rPr>
          <w:rFonts w:hint="eastAsia" w:eastAsiaTheme="minorEastAsia"/>
        </w:rPr>
        <w:t>附件1：</w:t>
      </w:r>
      <w:r>
        <w:rPr>
          <w:rFonts w:eastAsiaTheme="minorEastAsia"/>
        </w:rPr>
        <w:t>承包人承揽工程项目一览表</w:t>
      </w:r>
      <w:bookmarkEnd w:id="1075"/>
    </w:p>
    <w:tbl>
      <w:tblPr>
        <w:tblStyle w:val="33"/>
        <w:tblW w:w="146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单位工程名称</w:t>
            </w:r>
          </w:p>
        </w:tc>
        <w:tc>
          <w:tcPr>
            <w:tcW w:w="1843"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建设规模</w:t>
            </w:r>
          </w:p>
        </w:tc>
        <w:tc>
          <w:tcPr>
            <w:tcW w:w="1417"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建筑面积(平方米)</w:t>
            </w:r>
          </w:p>
        </w:tc>
        <w:tc>
          <w:tcPr>
            <w:tcW w:w="241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结构</w:t>
            </w:r>
            <w:r>
              <w:rPr>
                <w:rFonts w:hint="eastAsia" w:eastAsiaTheme="minorEastAsia"/>
                <w:color w:val="000000"/>
                <w:kern w:val="2"/>
                <w:sz w:val="24"/>
                <w:szCs w:val="30"/>
              </w:rPr>
              <w:t>形式</w:t>
            </w:r>
          </w:p>
        </w:tc>
        <w:tc>
          <w:tcPr>
            <w:tcW w:w="85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层数</w:t>
            </w:r>
          </w:p>
        </w:tc>
        <w:tc>
          <w:tcPr>
            <w:tcW w:w="156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生产能力</w:t>
            </w:r>
          </w:p>
        </w:tc>
        <w:tc>
          <w:tcPr>
            <w:tcW w:w="2126"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设备安装内容</w:t>
            </w:r>
          </w:p>
        </w:tc>
        <w:tc>
          <w:tcPr>
            <w:tcW w:w="1417"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合同价格（元）</w:t>
            </w:r>
          </w:p>
        </w:tc>
        <w:tc>
          <w:tcPr>
            <w:tcW w:w="851"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开工日期</w:t>
            </w:r>
          </w:p>
        </w:tc>
        <w:tc>
          <w:tcPr>
            <w:tcW w:w="85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Theme="minorEastAsia"/>
                <w:color w:val="000000"/>
                <w:kern w:val="2"/>
                <w:sz w:val="24"/>
                <w:szCs w:val="30"/>
              </w:rPr>
            </w:pPr>
            <w:r>
              <w:rPr>
                <w:rFonts w:eastAsiaTheme="minorEastAsia"/>
                <w:color w:val="000000"/>
                <w:kern w:val="2"/>
                <w:sz w:val="24"/>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843"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41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56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2126"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1417"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1"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rPr>
                <w:rFonts w:eastAsia="仿宋_GB2312"/>
                <w:color w:val="000000"/>
                <w:kern w:val="2"/>
                <w:sz w:val="30"/>
                <w:szCs w:val="30"/>
              </w:rPr>
            </w:pPr>
          </w:p>
        </w:tc>
      </w:tr>
    </w:tbl>
    <w:p>
      <w:pPr>
        <w:pageBreakBefore w:val="0"/>
        <w:widowControl w:val="0"/>
        <w:kinsoku/>
        <w:wordWrap/>
        <w:overflowPunct/>
        <w:topLinePunct w:val="0"/>
        <w:bidi w:val="0"/>
        <w:spacing w:line="560" w:lineRule="exact"/>
      </w:pPr>
    </w:p>
    <w:p>
      <w:pPr>
        <w:pageBreakBefore w:val="0"/>
        <w:widowControl w:val="0"/>
        <w:kinsoku/>
        <w:wordWrap/>
        <w:overflowPunct/>
        <w:topLinePunct w:val="0"/>
        <w:bidi w:val="0"/>
        <w:spacing w:line="560" w:lineRule="exact"/>
        <w:rPr>
          <w:rFonts w:hint="eastAsia" w:ascii="Times New Roman" w:hAnsi="Times New Roman" w:eastAsia="仿宋_GB2312"/>
          <w:b/>
          <w:color w:val="000000"/>
          <w:sz w:val="30"/>
          <w:szCs w:val="30"/>
        </w:rPr>
        <w:sectPr>
          <w:pgSz w:w="16838" w:h="11906" w:orient="landscape"/>
          <w:pgMar w:top="794" w:right="794" w:bottom="794" w:left="794"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4"/>
        <w:bidi w:val="0"/>
        <w:spacing w:line="480" w:lineRule="exact"/>
        <w:ind w:firstLine="482" w:firstLineChars="200"/>
        <w:jc w:val="center"/>
        <w:outlineLvl w:val="1"/>
        <w:rPr>
          <w:rFonts w:hint="eastAsia" w:asciiTheme="minorEastAsia" w:hAnsiTheme="minorEastAsia" w:eastAsiaTheme="minorEastAsia" w:cstheme="minorEastAsia"/>
          <w:b/>
          <w:bCs w:val="0"/>
          <w:sz w:val="24"/>
          <w:szCs w:val="24"/>
        </w:rPr>
      </w:pPr>
      <w:bookmarkStart w:id="1076" w:name="_Toc29948"/>
      <w:r>
        <w:rPr>
          <w:rFonts w:hint="eastAsia" w:asciiTheme="minorEastAsia" w:hAnsiTheme="minorEastAsia" w:eastAsiaTheme="minorEastAsia" w:cstheme="minorEastAsia"/>
          <w:b/>
          <w:bCs w:val="0"/>
          <w:szCs w:val="24"/>
        </w:rPr>
        <w:t>附件2</w:t>
      </w:r>
      <w:r>
        <w:rPr>
          <w:rFonts w:hint="eastAsia" w:asciiTheme="minorEastAsia" w:hAnsiTheme="minorEastAsia" w:eastAsiaTheme="minorEastAsia" w:cstheme="minorEastAsia"/>
          <w:b/>
          <w:bCs w:val="0"/>
          <w:szCs w:val="24"/>
          <w:lang w:eastAsia="zh-CN"/>
        </w:rPr>
        <w:t>：</w:t>
      </w:r>
      <w:r>
        <w:rPr>
          <w:rFonts w:hint="eastAsia" w:asciiTheme="minorEastAsia" w:hAnsiTheme="minorEastAsia" w:eastAsiaTheme="minorEastAsia" w:cstheme="minorEastAsia"/>
          <w:b/>
          <w:bCs w:val="0"/>
          <w:szCs w:val="24"/>
        </w:rPr>
        <w:t>保廉合同</w:t>
      </w:r>
      <w:bookmarkEnd w:id="1076"/>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SDQYSGGS202507</w:t>
      </w:r>
      <w:bookmarkStart w:id="1174" w:name="_GoBack"/>
      <w:bookmarkEnd w:id="1174"/>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none"/>
        </w:rPr>
        <w:t xml:space="preserve">        </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 包 人：</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single"/>
          <w:lang w:val="en-US" w:eastAsia="zh-CN"/>
        </w:rPr>
        <w:t xml:space="preserve">寿光南水北调供水有限公司     </w:t>
      </w:r>
      <w:r>
        <w:rPr>
          <w:rFonts w:hint="eastAsia" w:asciiTheme="minorEastAsia" w:hAnsiTheme="minorEastAsia" w:eastAsiaTheme="minorEastAsia" w:cstheme="minorEastAsia"/>
          <w:sz w:val="24"/>
          <w:szCs w:val="24"/>
          <w:u w:val="single"/>
        </w:rPr>
        <w:t xml:space="preserve">       </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 包 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w:t>
      </w:r>
      <w:r>
        <w:rPr>
          <w:rFonts w:hint="eastAsia" w:asciiTheme="minorEastAsia" w:hAnsiTheme="minorEastAsia" w:eastAsiaTheme="minorEastAsia" w:cstheme="minorEastAsia"/>
          <w:sz w:val="24"/>
          <w:szCs w:val="24"/>
          <w:u w:val="single"/>
          <w:lang w:val="en-US" w:eastAsia="zh-CN"/>
        </w:rPr>
        <w:t>羊口河北湿地供水管道工程</w:t>
      </w:r>
      <w:r>
        <w:rPr>
          <w:rFonts w:hint="eastAsia" w:asciiTheme="minorEastAsia" w:hAnsiTheme="minorEastAsia" w:eastAsiaTheme="minorEastAsia" w:cstheme="minorEastAsia"/>
          <w:sz w:val="24"/>
          <w:szCs w:val="24"/>
        </w:rPr>
        <w:t>项目双方能够勤政廉洁地履行合同，维护双方合法权益，经双方协商达成一致意见，签订如下协议：</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双方的权利和义务</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一、严格遵守党和国家有关法律法规及党风廉政建设有关规定。</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二、本着公开、公正、诚信的原则，自觉按合同办事，不得损害国家、集体利益以及个人合法权益。</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三、建立健全廉政制度，经常开展廉政教育，加强对本单位工作人员的监督工作。</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四、加强相互监督，对违反合同（协议）行为及时提醒并予以纠正，对违法违纪行为及时报告有关部门。</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发包人义务</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一、发包人工作人员不得索要或接受承包人提供的礼金、有价证券（卡）和物品；不得在承包人单位报销应由个人支付的各种费用。</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二、发包人工作人员不得借本人及家庭婚丧嫁娶、住房装修、子女就学等时机，索取或接受承包人的礼品、礼金、有价证券或劳务、财务帮助。</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三、发包人工作人员不得利用职权安排亲友、子女到承包人单位工作或分包工程。</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四、发包人工作人员不得接受承包人提供的宴请、高消费娱乐活动及国内外观光旅游活动。</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五、发包人工作人员不得为承包人多算业务量、多结业务款，不按合同（协议）规定规格、质量等要求进行验收和监督管理，并从中收受回扣，谋取私利。</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六、发包人工作人员不得因承包人拒绝合同外的不合理要求，而故意刁难承包人。</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七、发包人工作人员不得利用计量、结算、支付等职权，故意刁难承包人以谋取私利。</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承包人责任</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一、承包人工作人员不得以任何理由向发包人工作人员赠送现金、礼品或有价证券（卡）。</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二、承包人工作人员不得为发包人工作人员报销应由发包人单位或个人支付的任何费用。</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三、承包人工作人员不得邀请和资助发包人工作人员及家属外出旅游、参观、学习。</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四、承包人工作人员不得利用黄、赌、贿等各种手段拉拢腐蚀发包人工作人员。</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违约责任</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发包人工作人员有违反本保廉合同规定的行为，情节轻微的，由发包人上级纪检组织监察部门给予诫勉谈话；情节较重并给企业造成损失的，依据有关规定对责任人给予党纪政纪处分和经济处罚，并建议调离原岗位，不再从事相关工作；给承包人造成损失的，发包人单位赔偿承包人单位直接经济损失；情节严重构成犯罪的，将责任人移交司法机关追究其刑事责任。</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承包人单位或个人有违反保廉合同约定的行为，情节轻微的，收缴承包人交纳的部分保证金；情节较重并给发包人造成损失的，承包人赔偿发包人直接经济损失，并取消承包人在发包人的经济业务投标或承揽经济业务的资格。</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双方约定如下事项：</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、本保廉合同由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负责监督，举报电话：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负责本合同的验收。</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、双方其他约定： 在履约过程中，国家及地方相关部门发布的廉政规定、办法均须严格执行。</w:t>
      </w:r>
    </w:p>
    <w:p>
      <w:pPr>
        <w:pageBreakBefore w:val="0"/>
        <w:widowControl w:val="0"/>
        <w:tabs>
          <w:tab w:val="left" w:pos="2460"/>
        </w:tabs>
        <w:kinsoku/>
        <w:wordWrap/>
        <w:overflowPunct/>
        <w:topLinePunct w:val="0"/>
        <w:bidi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本保廉合同作为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合同的一部分，合同签订后即生效，合同履行完毕后自动失效。</w:t>
      </w:r>
    </w:p>
    <w:p>
      <w:pPr>
        <w:pageBreakBefore w:val="0"/>
        <w:widowControl w:val="0"/>
        <w:tabs>
          <w:tab w:val="left" w:pos="2460"/>
        </w:tabs>
        <w:kinsoku/>
        <w:wordWrap/>
        <w:overflowPunct/>
        <w:topLinePunct w:val="0"/>
        <w:bidi w:val="0"/>
        <w:spacing w:line="480" w:lineRule="exact"/>
        <w:ind w:firstLine="480" w:firstLineChars="200"/>
        <w:jc w:val="left"/>
        <w:rPr>
          <w:rFonts w:hint="eastAsia" w:ascii="仿宋_GB2312" w:hAnsi="仿宋_GB2312" w:eastAsia="仿宋_GB2312" w:cs="仿宋_GB2312"/>
          <w:sz w:val="30"/>
          <w:szCs w:val="30"/>
        </w:rPr>
      </w:pPr>
      <w:r>
        <w:rPr>
          <w:rFonts w:hint="eastAsia" w:asciiTheme="minorEastAsia" w:hAnsiTheme="minorEastAsia" w:eastAsiaTheme="minorEastAsia" w:cstheme="minorEastAsia"/>
          <w:sz w:val="24"/>
          <w:szCs w:val="24"/>
        </w:rPr>
        <w:t xml:space="preserve">第七条 本保廉合同份数同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合同一致。</w:t>
      </w:r>
    </w:p>
    <w:p>
      <w:pPr>
        <w:pageBreakBefore w:val="0"/>
        <w:widowControl w:val="0"/>
        <w:tabs>
          <w:tab w:val="left" w:pos="2460"/>
        </w:tabs>
        <w:kinsoku/>
        <w:wordWrap/>
        <w:overflowPunct/>
        <w:topLinePunct w:val="0"/>
        <w:bidi w:val="0"/>
        <w:spacing w:line="560" w:lineRule="exact"/>
        <w:ind w:firstLine="600" w:firstLineChars="200"/>
        <w:jc w:val="both"/>
        <w:rPr>
          <w:rFonts w:hint="eastAsia" w:ascii="仿宋_GB2312" w:hAnsi="仿宋_GB2312" w:eastAsia="仿宋_GB2312" w:cs="仿宋_GB2312"/>
          <w:sz w:val="30"/>
          <w:szCs w:val="30"/>
        </w:rPr>
      </w:pPr>
    </w:p>
    <w:p>
      <w:pPr>
        <w:pageBreakBefore w:val="0"/>
        <w:widowControl w:val="0"/>
        <w:tabs>
          <w:tab w:val="left" w:pos="2460"/>
        </w:tabs>
        <w:kinsoku/>
        <w:wordWrap/>
        <w:overflowPunct/>
        <w:topLinePunct w:val="0"/>
        <w:bidi w:val="0"/>
        <w:spacing w:line="560" w:lineRule="exact"/>
        <w:ind w:firstLine="480" w:firstLineChars="200"/>
        <w:jc w:val="both"/>
        <w:rPr>
          <w:rFonts w:ascii="仿宋_GB2312" w:hAnsi="仿宋_GB2312" w:cs="仿宋_GB2312" w:eastAsiaTheme="minorEastAsia"/>
          <w:sz w:val="24"/>
          <w:szCs w:val="30"/>
        </w:rPr>
      </w:pPr>
      <w:r>
        <w:rPr>
          <w:rFonts w:hint="eastAsia" w:ascii="仿宋_GB2312" w:hAnsi="仿宋_GB2312" w:cs="仿宋_GB2312" w:eastAsiaTheme="minorEastAsia"/>
          <w:sz w:val="24"/>
          <w:szCs w:val="30"/>
        </w:rPr>
        <w:t>发包人（盖章）：</w:t>
      </w:r>
      <w:r>
        <w:rPr>
          <w:rFonts w:hint="eastAsia" w:ascii="仿宋_GB2312" w:hAnsi="仿宋_GB2312" w:cs="仿宋_GB2312" w:eastAsiaTheme="minorEastAsia"/>
          <w:sz w:val="24"/>
          <w:szCs w:val="30"/>
          <w:u w:val="single"/>
        </w:rPr>
        <w:t xml:space="preserve">        </w:t>
      </w:r>
      <w:r>
        <w:rPr>
          <w:rFonts w:hint="eastAsia" w:ascii="仿宋_GB2312" w:hAnsi="仿宋_GB2312" w:cs="仿宋_GB2312" w:eastAsiaTheme="minorEastAsia"/>
          <w:sz w:val="24"/>
          <w:szCs w:val="30"/>
        </w:rPr>
        <w:t xml:space="preserve">  </w:t>
      </w:r>
      <w:r>
        <w:rPr>
          <w:rFonts w:hint="eastAsia" w:ascii="仿宋_GB2312" w:hAnsi="仿宋_GB2312" w:cs="仿宋_GB2312" w:eastAsiaTheme="minorEastAsia"/>
          <w:sz w:val="24"/>
          <w:szCs w:val="30"/>
          <w:lang w:val="en-US" w:eastAsia="zh-CN"/>
        </w:rPr>
        <w:t xml:space="preserve">         </w:t>
      </w:r>
      <w:r>
        <w:rPr>
          <w:rFonts w:hint="eastAsia" w:ascii="仿宋_GB2312" w:hAnsi="仿宋_GB2312" w:cs="仿宋_GB2312" w:eastAsiaTheme="minorEastAsia"/>
          <w:sz w:val="24"/>
          <w:szCs w:val="30"/>
        </w:rPr>
        <w:t xml:space="preserve"> 承包人（盖章）：</w:t>
      </w:r>
      <w:r>
        <w:rPr>
          <w:rFonts w:hint="eastAsia" w:ascii="仿宋_GB2312" w:hAnsi="仿宋_GB2312" w:cs="仿宋_GB2312" w:eastAsiaTheme="minorEastAsia"/>
          <w:sz w:val="24"/>
          <w:szCs w:val="30"/>
          <w:u w:val="single"/>
        </w:rPr>
        <w:t xml:space="preserve">        </w:t>
      </w:r>
    </w:p>
    <w:p>
      <w:pPr>
        <w:pageBreakBefore w:val="0"/>
        <w:widowControl w:val="0"/>
        <w:tabs>
          <w:tab w:val="left" w:pos="2460"/>
        </w:tabs>
        <w:kinsoku/>
        <w:wordWrap/>
        <w:overflowPunct/>
        <w:topLinePunct w:val="0"/>
        <w:bidi w:val="0"/>
        <w:spacing w:line="560" w:lineRule="exact"/>
        <w:ind w:firstLine="480" w:firstLineChars="200"/>
        <w:jc w:val="both"/>
        <w:rPr>
          <w:rFonts w:hint="eastAsia" w:ascii="仿宋_GB2312" w:hAnsi="仿宋_GB2312" w:cs="仿宋_GB2312" w:eastAsiaTheme="minorEastAsia"/>
          <w:sz w:val="24"/>
          <w:szCs w:val="30"/>
        </w:rPr>
      </w:pPr>
    </w:p>
    <w:p>
      <w:pPr>
        <w:pageBreakBefore w:val="0"/>
        <w:widowControl w:val="0"/>
        <w:tabs>
          <w:tab w:val="left" w:pos="2460"/>
        </w:tabs>
        <w:kinsoku/>
        <w:wordWrap/>
        <w:overflowPunct/>
        <w:topLinePunct w:val="0"/>
        <w:bidi w:val="0"/>
        <w:spacing w:line="560" w:lineRule="exact"/>
        <w:ind w:firstLine="480" w:firstLineChars="200"/>
        <w:jc w:val="both"/>
        <w:rPr>
          <w:rFonts w:ascii="仿宋_GB2312" w:hAnsi="仿宋_GB2312" w:cs="仿宋_GB2312" w:eastAsiaTheme="minorEastAsia"/>
          <w:sz w:val="24"/>
          <w:szCs w:val="30"/>
        </w:rPr>
      </w:pPr>
      <w:r>
        <w:rPr>
          <w:rFonts w:hint="eastAsia" w:ascii="仿宋_GB2312" w:hAnsi="仿宋_GB2312" w:cs="仿宋_GB2312" w:eastAsiaTheme="minorEastAsia"/>
          <w:sz w:val="24"/>
          <w:szCs w:val="30"/>
        </w:rPr>
        <w:t>代表（签字）：</w:t>
      </w:r>
      <w:r>
        <w:rPr>
          <w:rFonts w:hint="eastAsia" w:ascii="仿宋_GB2312" w:hAnsi="仿宋_GB2312" w:cs="仿宋_GB2312" w:eastAsiaTheme="minorEastAsia"/>
          <w:sz w:val="24"/>
          <w:szCs w:val="30"/>
          <w:u w:val="single"/>
        </w:rPr>
        <w:t xml:space="preserve">          </w:t>
      </w:r>
      <w:r>
        <w:rPr>
          <w:rFonts w:hint="eastAsia" w:ascii="仿宋_GB2312" w:hAnsi="仿宋_GB2312" w:cs="仿宋_GB2312" w:eastAsiaTheme="minorEastAsia"/>
          <w:sz w:val="24"/>
          <w:szCs w:val="30"/>
        </w:rPr>
        <w:t xml:space="preserve">  </w:t>
      </w:r>
      <w:r>
        <w:rPr>
          <w:rFonts w:hint="eastAsia" w:ascii="仿宋_GB2312" w:hAnsi="仿宋_GB2312" w:cs="仿宋_GB2312" w:eastAsiaTheme="minorEastAsia"/>
          <w:sz w:val="24"/>
          <w:szCs w:val="30"/>
          <w:lang w:val="en-US" w:eastAsia="zh-CN"/>
        </w:rPr>
        <w:t xml:space="preserve">         </w:t>
      </w:r>
      <w:r>
        <w:rPr>
          <w:rFonts w:hint="eastAsia" w:ascii="仿宋_GB2312" w:hAnsi="仿宋_GB2312" w:cs="仿宋_GB2312" w:eastAsiaTheme="minorEastAsia"/>
          <w:sz w:val="24"/>
          <w:szCs w:val="30"/>
        </w:rPr>
        <w:t xml:space="preserve">  代表（签字）：</w:t>
      </w:r>
      <w:r>
        <w:rPr>
          <w:rFonts w:hint="eastAsia" w:ascii="仿宋_GB2312" w:hAnsi="仿宋_GB2312" w:cs="仿宋_GB2312" w:eastAsiaTheme="minorEastAsia"/>
          <w:sz w:val="24"/>
          <w:szCs w:val="30"/>
          <w:u w:val="single"/>
        </w:rPr>
        <w:t xml:space="preserve">         </w:t>
      </w:r>
    </w:p>
    <w:p>
      <w:pPr>
        <w:pageBreakBefore w:val="0"/>
        <w:widowControl w:val="0"/>
        <w:tabs>
          <w:tab w:val="left" w:pos="2460"/>
        </w:tabs>
        <w:kinsoku/>
        <w:wordWrap/>
        <w:overflowPunct/>
        <w:topLinePunct w:val="0"/>
        <w:bidi w:val="0"/>
        <w:spacing w:line="560" w:lineRule="exact"/>
        <w:ind w:firstLine="480" w:firstLineChars="200"/>
        <w:jc w:val="both"/>
        <w:rPr>
          <w:rFonts w:hint="eastAsia" w:ascii="仿宋_GB2312" w:hAnsi="仿宋_GB2312" w:cs="仿宋_GB2312" w:eastAsiaTheme="minorEastAsia"/>
          <w:sz w:val="24"/>
          <w:szCs w:val="30"/>
        </w:rPr>
      </w:pPr>
    </w:p>
    <w:p>
      <w:pPr>
        <w:pageBreakBefore w:val="0"/>
        <w:widowControl w:val="0"/>
        <w:tabs>
          <w:tab w:val="left" w:pos="2460"/>
        </w:tabs>
        <w:kinsoku/>
        <w:wordWrap/>
        <w:overflowPunct/>
        <w:topLinePunct w:val="0"/>
        <w:bidi w:val="0"/>
        <w:spacing w:line="560" w:lineRule="exact"/>
        <w:ind w:firstLine="1680" w:firstLineChars="700"/>
        <w:jc w:val="both"/>
        <w:rPr>
          <w:rFonts w:hint="eastAsia"/>
          <w:sz w:val="30"/>
          <w:szCs w:val="30"/>
        </w:rPr>
      </w:pPr>
      <w:r>
        <w:rPr>
          <w:rFonts w:hint="eastAsia" w:ascii="仿宋_GB2312" w:hAnsi="仿宋_GB2312" w:cs="仿宋_GB2312" w:eastAsiaTheme="minorEastAsia"/>
          <w:sz w:val="24"/>
          <w:szCs w:val="30"/>
        </w:rPr>
        <w:t xml:space="preserve">年  月  日               </w:t>
      </w:r>
      <w:r>
        <w:rPr>
          <w:rFonts w:hint="eastAsia" w:ascii="仿宋_GB2312" w:hAnsi="仿宋_GB2312" w:cs="仿宋_GB2312" w:eastAsiaTheme="minorEastAsia"/>
          <w:sz w:val="24"/>
          <w:szCs w:val="30"/>
          <w:lang w:val="en-US" w:eastAsia="zh-CN"/>
        </w:rPr>
        <w:t xml:space="preserve">               </w:t>
      </w:r>
      <w:r>
        <w:rPr>
          <w:rFonts w:hint="eastAsia" w:ascii="仿宋_GB2312" w:hAnsi="仿宋_GB2312" w:cs="仿宋_GB2312" w:eastAsiaTheme="minorEastAsia"/>
          <w:sz w:val="24"/>
          <w:szCs w:val="30"/>
        </w:rPr>
        <w:t xml:space="preserve">    年  月  日</w:t>
      </w:r>
      <w:r>
        <w:rPr>
          <w:rFonts w:hint="eastAsia" w:ascii="仿宋_GB2312" w:hAnsi="仿宋_GB2312" w:cs="仿宋_GB2312" w:eastAsiaTheme="minorEastAsia"/>
          <w:sz w:val="24"/>
          <w:szCs w:val="30"/>
        </w:rPr>
        <w:tab/>
      </w:r>
    </w:p>
    <w:p>
      <w:pPr>
        <w:pStyle w:val="2"/>
        <w:rPr>
          <w:rFonts w:hint="eastAsia"/>
        </w:rPr>
      </w:pPr>
    </w:p>
    <w:p>
      <w:pPr>
        <w:bidi w:val="0"/>
        <w:rPr>
          <w:rFonts w:hint="eastAsia"/>
        </w:rPr>
      </w:pPr>
    </w:p>
    <w:p>
      <w:pPr>
        <w:bidi w:val="0"/>
        <w:spacing w:line="480" w:lineRule="exact"/>
        <w:ind w:firstLine="480" w:firstLineChars="200"/>
        <w:rPr>
          <w:rFonts w:hint="eastAsia"/>
        </w:rPr>
      </w:pPr>
    </w:p>
    <w:p>
      <w:pPr>
        <w:pStyle w:val="4"/>
        <w:bidi w:val="0"/>
        <w:spacing w:line="480" w:lineRule="exact"/>
        <w:ind w:firstLine="482" w:firstLineChars="200"/>
        <w:jc w:val="center"/>
        <w:rPr>
          <w:rFonts w:hint="eastAsia" w:asciiTheme="minorEastAsia" w:hAnsiTheme="minorEastAsia" w:eastAsiaTheme="minorEastAsia" w:cstheme="minorEastAsia"/>
          <w:b/>
          <w:bCs w:val="0"/>
          <w:color w:val="000000"/>
          <w:sz w:val="24"/>
          <w:szCs w:val="24"/>
        </w:rPr>
      </w:pPr>
      <w:bookmarkStart w:id="1077" w:name="_Toc12103"/>
      <w:r>
        <w:rPr>
          <w:rFonts w:hint="eastAsia" w:asciiTheme="minorEastAsia" w:hAnsiTheme="minorEastAsia" w:eastAsiaTheme="minorEastAsia" w:cstheme="minorEastAsia"/>
          <w:b/>
          <w:bCs w:val="0"/>
          <w:szCs w:val="24"/>
        </w:rPr>
        <w:t>附件3</w:t>
      </w:r>
      <w:r>
        <w:rPr>
          <w:rFonts w:hint="eastAsia" w:asciiTheme="minorEastAsia" w:hAnsiTheme="minorEastAsia" w:eastAsiaTheme="minorEastAsia" w:cstheme="minorEastAsia"/>
          <w:b/>
          <w:bCs w:val="0"/>
          <w:szCs w:val="24"/>
          <w:lang w:eastAsia="zh-CN"/>
        </w:rPr>
        <w:t>：</w:t>
      </w:r>
      <w:r>
        <w:rPr>
          <w:rFonts w:hint="eastAsia" w:asciiTheme="minorEastAsia" w:hAnsiTheme="minorEastAsia" w:eastAsiaTheme="minorEastAsia" w:cstheme="minorEastAsia"/>
          <w:b/>
          <w:bCs w:val="0"/>
          <w:szCs w:val="24"/>
        </w:rPr>
        <w:t>安全生产协议书</w:t>
      </w:r>
      <w:bookmarkEnd w:id="1077"/>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发包人：</w:t>
      </w:r>
      <w:r>
        <w:rPr>
          <w:rFonts w:hint="eastAsia" w:ascii="仿宋_GB2312" w:hAnsi="仿宋_GB2312" w:cs="仿宋_GB2312" w:eastAsiaTheme="minorEastAsia"/>
          <w:color w:val="000000"/>
          <w:sz w:val="24"/>
          <w:szCs w:val="30"/>
          <w:u w:val="single"/>
          <w:lang w:val="en-US" w:eastAsia="zh-CN"/>
        </w:rPr>
        <w:t>寿光南水北调供水有限公司</w:t>
      </w:r>
      <w:r>
        <w:rPr>
          <w:rFonts w:hint="eastAsia" w:ascii="仿宋_GB2312" w:hAnsi="仿宋_GB2312" w:cs="仿宋_GB2312" w:eastAsiaTheme="minorEastAsia"/>
          <w:color w:val="000000"/>
          <w:sz w:val="24"/>
          <w:szCs w:val="30"/>
        </w:rPr>
        <w:t>（以下简称“发包人”）</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承包人：</w:t>
      </w:r>
      <w:r>
        <w:rPr>
          <w:rFonts w:hint="eastAsia" w:ascii="仿宋_GB2312" w:hAnsi="仿宋_GB2312" w:cs="仿宋_GB2312" w:eastAsiaTheme="minorEastAsia"/>
          <w:color w:val="000000"/>
          <w:sz w:val="24"/>
          <w:szCs w:val="30"/>
          <w:u w:val="single"/>
        </w:rPr>
        <w:t xml:space="preserve">          </w:t>
      </w:r>
      <w:r>
        <w:rPr>
          <w:rFonts w:hint="eastAsia" w:ascii="仿宋_GB2312" w:hAnsi="仿宋_GB2312" w:cs="仿宋_GB2312" w:eastAsiaTheme="minorEastAsia"/>
          <w:color w:val="000000"/>
          <w:sz w:val="24"/>
          <w:szCs w:val="30"/>
        </w:rPr>
        <w:t>（以下简称“承包人”）</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为了认真贯彻“安全第一，预防为主、综合治理”的方针，按照</w:t>
      </w:r>
      <w:r>
        <w:rPr>
          <w:rFonts w:hint="eastAsia" w:ascii="仿宋_GB2312" w:hAnsi="仿宋_GB2312" w:cs="仿宋_GB2312" w:eastAsiaTheme="minorEastAsia"/>
          <w:color w:val="000000"/>
          <w:sz w:val="24"/>
          <w:szCs w:val="30"/>
          <w:u w:val="single"/>
        </w:rPr>
        <w:t xml:space="preserve">        </w:t>
      </w:r>
      <w:r>
        <w:rPr>
          <w:rFonts w:hint="eastAsia" w:ascii="仿宋_GB2312" w:hAnsi="仿宋_GB2312" w:cs="仿宋_GB2312" w:eastAsiaTheme="minorEastAsia"/>
          <w:color w:val="000000"/>
          <w:sz w:val="24"/>
          <w:szCs w:val="30"/>
        </w:rPr>
        <w:t>合同约定，依据国家《安全生产法》、《建设工程安全生产条例》等相关法律法规及行业规定，经双方协商达成安全协议如下：</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一、本协议作为施工合同的附件，如有不详之处，均以国家和地方有关安全方面的法规、规范为准。</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二、工程项目名称及工期</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1、工程项目名称：</w:t>
      </w:r>
      <w:r>
        <w:rPr>
          <w:rFonts w:hint="eastAsia" w:ascii="仿宋_GB2312" w:hAnsi="仿宋_GB2312" w:cs="仿宋_GB2312" w:eastAsiaTheme="minorEastAsia"/>
          <w:color w:val="000000"/>
          <w:sz w:val="24"/>
          <w:szCs w:val="30"/>
          <w:u w:val="single"/>
        </w:rPr>
        <w:t xml:space="preserve"> </w:t>
      </w:r>
      <w:r>
        <w:rPr>
          <w:rFonts w:hint="eastAsia" w:ascii="仿宋_GB2312" w:hAnsi="仿宋_GB2312" w:cs="仿宋_GB2312" w:eastAsiaTheme="minorEastAsia"/>
          <w:color w:val="000000"/>
          <w:sz w:val="24"/>
          <w:szCs w:val="30"/>
          <w:u w:val="single"/>
          <w:lang w:val="en-US" w:eastAsia="zh-CN"/>
        </w:rPr>
        <w:t>羊口河北湿地供水管道工程</w:t>
      </w:r>
      <w:r>
        <w:rPr>
          <w:rFonts w:hint="eastAsia" w:ascii="仿宋_GB2312" w:hAnsi="仿宋_GB2312" w:cs="仿宋_GB2312" w:eastAsiaTheme="minorEastAsia"/>
          <w:color w:val="000000"/>
          <w:sz w:val="24"/>
          <w:szCs w:val="30"/>
          <w:u w:val="single"/>
        </w:rPr>
        <w:t xml:space="preserve">           </w:t>
      </w:r>
      <w:r>
        <w:rPr>
          <w:rFonts w:hint="eastAsia" w:ascii="仿宋_GB2312" w:hAnsi="仿宋_GB2312" w:cs="仿宋_GB2312" w:eastAsiaTheme="minorEastAsia"/>
          <w:color w:val="000000"/>
          <w:sz w:val="24"/>
          <w:szCs w:val="30"/>
        </w:rPr>
        <w:t>。</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2、工程项目地点：</w:t>
      </w:r>
      <w:r>
        <w:rPr>
          <w:rFonts w:hint="eastAsia" w:ascii="仿宋_GB2312" w:hAnsi="仿宋_GB2312" w:cs="仿宋_GB2312" w:eastAsiaTheme="minorEastAsia"/>
          <w:color w:val="000000"/>
          <w:sz w:val="24"/>
          <w:szCs w:val="30"/>
          <w:u w:val="single"/>
        </w:rPr>
        <w:t xml:space="preserve">     </w:t>
      </w:r>
      <w:r>
        <w:rPr>
          <w:rFonts w:hint="eastAsia" w:ascii="仿宋_GB2312" w:hAnsi="仿宋_GB2312" w:cs="仿宋_GB2312" w:eastAsiaTheme="minorEastAsia"/>
          <w:color w:val="000000"/>
          <w:sz w:val="24"/>
          <w:szCs w:val="30"/>
          <w:u w:val="single"/>
          <w:lang w:val="en-US" w:eastAsia="zh-CN"/>
        </w:rPr>
        <w:t>寿光</w:t>
      </w:r>
      <w:r>
        <w:rPr>
          <w:rFonts w:hint="eastAsia" w:ascii="仿宋_GB2312" w:hAnsi="仿宋_GB2312" w:cs="仿宋_GB2312" w:eastAsiaTheme="minorEastAsia"/>
          <w:color w:val="000000"/>
          <w:sz w:val="24"/>
          <w:szCs w:val="30"/>
          <w:u w:val="single"/>
        </w:rPr>
        <w:t xml:space="preserve">       </w:t>
      </w:r>
      <w:r>
        <w:rPr>
          <w:rFonts w:hint="eastAsia" w:ascii="仿宋_GB2312" w:hAnsi="仿宋_GB2312" w:cs="仿宋_GB2312" w:eastAsiaTheme="minorEastAsia"/>
          <w:color w:val="000000"/>
          <w:sz w:val="24"/>
          <w:szCs w:val="30"/>
        </w:rPr>
        <w:t>。</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三、工程建设参建各方按照《建设工程安全生产管理条例》对施工现场安全工作各负其责。</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四、本工程安全目标：</w:t>
      </w:r>
    </w:p>
    <w:p>
      <w:pPr>
        <w:pageBreakBefore w:val="0"/>
        <w:widowControl w:val="0"/>
        <w:numPr>
          <w:ilvl w:val="0"/>
          <w:numId w:val="5"/>
        </w:numPr>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 xml:space="preserve">  不发生人身轻伤及以上安全事故；</w:t>
      </w:r>
    </w:p>
    <w:p>
      <w:pPr>
        <w:pageBreakBefore w:val="0"/>
        <w:widowControl w:val="0"/>
        <w:numPr>
          <w:ilvl w:val="0"/>
          <w:numId w:val="5"/>
        </w:numPr>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 xml:space="preserve">  不发生重大机械、设备安全事故；</w:t>
      </w:r>
    </w:p>
    <w:p>
      <w:pPr>
        <w:pageBreakBefore w:val="0"/>
        <w:widowControl w:val="0"/>
        <w:numPr>
          <w:ilvl w:val="0"/>
          <w:numId w:val="5"/>
        </w:numPr>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 xml:space="preserve">  不发生火灾、爆炸事故；</w:t>
      </w:r>
    </w:p>
    <w:p>
      <w:pPr>
        <w:pageBreakBefore w:val="0"/>
        <w:widowControl w:val="0"/>
        <w:numPr>
          <w:ilvl w:val="0"/>
          <w:numId w:val="5"/>
        </w:numPr>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 xml:space="preserve">  不发生职业健康伤害事故；</w:t>
      </w:r>
    </w:p>
    <w:p>
      <w:pPr>
        <w:pageBreakBefore w:val="0"/>
        <w:widowControl w:val="0"/>
        <w:numPr>
          <w:ilvl w:val="0"/>
          <w:numId w:val="5"/>
        </w:numPr>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 xml:space="preserve">  不发生群体性安全事故。</w:t>
      </w:r>
    </w:p>
    <w:p>
      <w:pPr>
        <w:pageBreakBefore w:val="0"/>
        <w:widowControl w:val="0"/>
        <w:numPr>
          <w:ilvl w:val="0"/>
          <w:numId w:val="5"/>
        </w:numPr>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 xml:space="preserve">  安全文明施工设施实现标准化。</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五、双方的安全责任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5.1  发包人的责任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  发包人有权监督承包人安全施工。实行监理的工程项目，由发包人委托监理单位负责安全施工监督。</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（2）  发包人贯彻落实国家有关安全生产方面的政策、方针、法律、法规和上级有关规定，并及时向承包人传达。</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（3）  发包人按工程需要向承包人提供真实、准确、完整的相关资料。</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（4）  发包人有权对承包人购买、租赁、使用的安全防护用具、机械设备、施工机具及配件、消防设施和器材进行查验。不符合安全施工要求的各类器材及设备，承包人须清退出场。</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（5）  发包人应根据本项目施工安全特点和年度生产安排，审查承包人的工程安全技术措施，督促其认真组织实施。</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（6）  发包人有权对承包人的安全管理机构、技术及安全管理人员、特种作业人员、劳务组织等情况进行核查，确保各类人员安全施工资质及要求。</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（7）  发包人有权对承包人施工人员和劳务人员的招、聘用进行监督。对违反规定私招乱雇及不合格的人员有权责令其退场。</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（8）  发包人有权对承包人各类分包(含劳务分包)行为进行监督。承包人需要分包工程项目，必须报经发包人批准；分包单位的资质等情况需报发包人备案。</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（9）  根据发包内容，发包人有权查阅承包人的施工方案、安全技术措施、安全技术交底记录、安全教育资料、企业及个人的安全资质等相关资料。</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（10） 发包人对承包人安全、文明施工进行监督管理，组织定期和不定期检查，承包人需对发包人提出的工程施工安全隐患及时进行整改。发包人对不执行安全技术措施违章作业行为有权责令停工整改。</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（11） 发包人接到承包人关于施工现场的事故报告后，应立即赶赴现场，协助承包人进行抢救伤员、事故现场保护及事故处理工作。</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5.2   承包人的责任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  承包人承担本施工合同范围内全部安全施工责任。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（2）  承包人建立健全安全管理机构和安全奖惩等安全管理制度，落实安全责任，有明确的安全责任分工，对本工程施工作业人员进行安全教育并严格考核，将考核结果以正式文件报相关部门备案。按规定设置安全管理机构及专职安全员进行施工现场安全管理。</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（3）  承包人需执行国家、地方及发包人制定的有关现场施工的各项安全管理规定，施工用电、脚手架搭设、安全防护、安全工器具等安全设施必须符合安全设施标准化规定，服从发包人的安全监督和管理。</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（4）  承包人须按要求编制安全施工组织设计、专项施工方案，完善审批手续并向发包人报备（实行监理的，需经监理单位审批通过），严格执行。有可能引发火灾、爆炸、触电、高空坠落、中毒、窒息、机械伤害、烧烫伤等人员伤害和事故的危险施工项目，承包人须制定详细的安全保障措施，经论证后向发包人报备（实行监理的，需经监理公司审批通过），方可进行施工。根据不同时期、不同阶段施工条件的变化，对专项安全施工方案做相应调整并重新完成审批。从事危险性作业时，必须设安全监护人员。</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（5）  承包人需根据现场实际情况制定施工现场应急救援预案，保证救援人员组织到位、通讯畅通，救援设备、急救用品完好齐备，以备不时之需。按规定组织现场演练，发包人要求进行联合应急演练的，承包人应予配合。</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（6）  垂直运输机械作业人员、安装拆卸工、起重信号工、登高架设等特种作业人员，必须按照国家有关规定经过专门的安全作业培训，并取得特种作业操作资格证书、按规定定期参加继续教育经考核通过后，方可上岗作业。</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（7）  不得录用患有职业禁忌症的不合格人员以及老、弱、病、残人员和童工；新增补人员，在履行安全管理及安全教育程序前，不得擅自安排上岗作业。</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（8）  承包人在组织施工期间应定期进行安全隐患排查，检查施工通道、脚手架、兜网（水平网）、防护棚（栏）等安全作业设施的安全情况，发现隐患及时报告、主动处理，不消除隐患不得进行施工。</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（9）  专项施工安全防护责任：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在工程竣工验收移交之前的整个施工期内，承包人必须制订并实施一切必要的方案及措施，保证工程现场施工安全，维护工地正常生产秩序。安全措施应包括（但不限于）安全机构的设置、专职人员的配备以及模板工程、临时用电、施工机械、爆破工程、施工防火、雨季施工、文明施工、临时设施搭建等措施，进行防火、防毒、防暑、防噪音、救护、警报、治安、高空作业、设备运输吊装作业、爆破、炸药等的管理。承包人必须遵守国家颁布的有关安全规程。</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（10） 劳动保护责任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承包人必须按照国家的劳动保护法，根据作业种类和特点向所雇佣的现场施工作业人员发放符合要求的劳动保护用品。工地现场需配备一定数量的劳动保护用具，以满足相关单位检查及工作人员临时进入施工现场的防护需要。</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（11） 施工用电及施工机械设备安全责任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施工临时用电线路及设备必须按规定进行敷设及配置，符合安全用电要求。实行总承包的，由总承包施工单位对施工临时用电进行统一安全管理，并承担安全责任。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承包人拟投入施工使用的机械、设备、器具等必须按规定完成验收和备案，方可投入使用，使用过程中制定专人定期进行维护检修，发现问题及时处理，杜绝带病作业。</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（12） 防  火</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承包人应当在施工现场建立消防安全责任制度，确定消防安全责任人，制定用火、用电、使用易燃易爆材料等各项消防安全管理制度和操作规程，设置消防通道、消防水源，配备消防设施和灭火器材，并在施工现场设置明显标志。凡施工现场动火施工项目，作业人员须随身携带动火审批手续以备查验。</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（13） 气象灾害的防护</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承包人必须重视气象预报，一旦发现有可能危及工程安全和人身财产安全的气象灾害的预兆时，应立即采取有效的防止气象灾害的措施，以确保工程和人身财产的安全及保证工程按计划进行。</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（14） 施工现场不得设置住宿、食堂等生活设施，不得使用在建建筑进行办公。不得在施工现场组织聚餐、聚会等群体性活动。</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六、事故责任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6.1   承包人需制定措施保障发包人及发包人委托的工程人员、监理及质安监机构等现场工作人员的安全，发生安全事故对上述人员造成伤害的由承包人承担责任。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6.2   承包人需制定相应措施确保外来闲杂人员不进入施工作业范围（实行总承包的，由总承包单位制定措施对作业人员进出场进行规范管理），因此造成的安全事故由承包人承担。</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6.3  承包人对执行本工程施工合同所雇用的全部人员及设备承担安全事故责任。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6.4  承包人施工机械设备超出施工作业范围造成安全事故的，由承包人承担事故责任。</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6.5  发生下列情况之一者，除由承包人承担全部责任外，发包人有权解除工程施工合同：</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（1）  不按安全施工方案施工或不执行安全技术措施所造成的事故。</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（2）  违章指挥、违章作业、违反劳动纪律造成的事故。</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（3）  使用有隐患的工器具或不合格的劳动保护用品造成的事故。</w:t>
      </w:r>
    </w:p>
    <w:p>
      <w:pPr>
        <w:pageBreakBefore w:val="0"/>
        <w:widowControl w:val="0"/>
        <w:tabs>
          <w:tab w:val="left" w:pos="6562"/>
        </w:tabs>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（4）  擅自损坏或拆除安全防护设施造成的事故。</w:t>
      </w:r>
      <w:r>
        <w:rPr>
          <w:rFonts w:hint="eastAsia" w:ascii="仿宋_GB2312" w:hAnsi="仿宋_GB2312" w:cs="仿宋_GB2312" w:eastAsiaTheme="minorEastAsia"/>
          <w:color w:val="000000"/>
          <w:sz w:val="24"/>
          <w:szCs w:val="30"/>
        </w:rPr>
        <w:tab/>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（5）  无安全防护或安全防护不足造成的施工事故。</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6.6   发生人身伤亡事故必须及时报告相关部门、发包人，不得隐瞒不报或延误报告，并尽全力抢救伤员，保护好事故现场。</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七、检查与考核</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7.1   发包人定期组织进行安全检查，承包人应无条件予以配合并落实整改检查中发现的安全隐患及问题。</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7.2   根据发包人制定的考核标准，如承包人确实存在安全管理不力，未履行本协议约定内容，已经发生或有可能发生安全事故的，发包人有权责令承包人进行停工整顿，如承包人未及时整改或整改不力，施工现场安全施工现状未明显发送，发包人有权解除工程施工合同，由此造成的损失由承包人负责。</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八、本协议份数同</w:t>
      </w:r>
      <w:r>
        <w:rPr>
          <w:rFonts w:hint="eastAsia" w:ascii="仿宋_GB2312" w:hAnsi="仿宋_GB2312" w:cs="仿宋_GB2312" w:eastAsiaTheme="minorEastAsia"/>
          <w:color w:val="000000"/>
          <w:sz w:val="24"/>
          <w:szCs w:val="30"/>
          <w:u w:val="single"/>
        </w:rPr>
        <w:t xml:space="preserve">           </w:t>
      </w:r>
      <w:r>
        <w:rPr>
          <w:rFonts w:hint="eastAsia" w:ascii="仿宋_GB2312" w:hAnsi="仿宋_GB2312" w:cs="仿宋_GB2312" w:eastAsiaTheme="minorEastAsia"/>
          <w:color w:val="000000"/>
          <w:sz w:val="24"/>
          <w:szCs w:val="30"/>
        </w:rPr>
        <w:t>合同一致。</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九、本协议经双方签字盖章后，即具有法律效力。</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十、其他未尽事宜，双方协商解决。</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 xml:space="preserve">发包人（公章）：            </w:t>
      </w:r>
      <w:r>
        <w:rPr>
          <w:rFonts w:hint="eastAsia" w:ascii="仿宋_GB2312" w:hAnsi="仿宋_GB2312" w:cs="仿宋_GB2312" w:eastAsiaTheme="minorEastAsia"/>
          <w:color w:val="000000"/>
          <w:sz w:val="24"/>
          <w:szCs w:val="30"/>
          <w:lang w:val="en-US" w:eastAsia="zh-CN"/>
        </w:rPr>
        <w:t xml:space="preserve">        </w:t>
      </w:r>
      <w:r>
        <w:rPr>
          <w:rFonts w:hint="eastAsia" w:ascii="仿宋_GB2312" w:hAnsi="仿宋_GB2312" w:cs="仿宋_GB2312" w:eastAsiaTheme="minorEastAsia"/>
          <w:color w:val="000000"/>
          <w:sz w:val="24"/>
          <w:szCs w:val="30"/>
        </w:rPr>
        <w:t xml:space="preserve"> 承包人（公章）：</w:t>
      </w: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p>
    <w:p>
      <w:pPr>
        <w:pageBreakBefore w:val="0"/>
        <w:widowControl w:val="0"/>
        <w:kinsoku/>
        <w:wordWrap/>
        <w:overflowPunct/>
        <w:topLinePunct w:val="0"/>
        <w:bidi w:val="0"/>
        <w:adjustRightInd w:val="0"/>
        <w:snapToGrid w:val="0"/>
        <w:spacing w:line="480" w:lineRule="exact"/>
        <w:ind w:firstLine="480" w:firstLineChars="200"/>
        <w:jc w:val="left"/>
        <w:rPr>
          <w:rFonts w:hint="eastAsia" w:ascii="仿宋_GB2312" w:hAnsi="仿宋_GB2312" w:cs="仿宋_GB2312" w:eastAsiaTheme="minorEastAsia"/>
          <w:color w:val="000000"/>
          <w:sz w:val="24"/>
          <w:szCs w:val="30"/>
        </w:rPr>
      </w:pPr>
      <w:r>
        <w:rPr>
          <w:rFonts w:hint="eastAsia" w:ascii="仿宋_GB2312" w:hAnsi="仿宋_GB2312" w:cs="仿宋_GB2312" w:eastAsiaTheme="minorEastAsia"/>
          <w:color w:val="000000"/>
          <w:sz w:val="24"/>
          <w:szCs w:val="30"/>
        </w:rPr>
        <w:t xml:space="preserve">法定代表人（签字或盖章）：    </w:t>
      </w:r>
      <w:r>
        <w:rPr>
          <w:rFonts w:hint="eastAsia" w:ascii="仿宋_GB2312" w:hAnsi="仿宋_GB2312" w:cs="仿宋_GB2312" w:eastAsiaTheme="minorEastAsia"/>
          <w:color w:val="000000"/>
          <w:sz w:val="24"/>
          <w:szCs w:val="30"/>
          <w:lang w:val="en-US" w:eastAsia="zh-CN"/>
        </w:rPr>
        <w:t xml:space="preserve">       </w:t>
      </w:r>
      <w:r>
        <w:rPr>
          <w:rFonts w:hint="eastAsia" w:ascii="仿宋_GB2312" w:hAnsi="仿宋_GB2312" w:cs="仿宋_GB2312" w:eastAsiaTheme="minorEastAsia"/>
          <w:color w:val="000000"/>
          <w:sz w:val="24"/>
          <w:szCs w:val="30"/>
        </w:rPr>
        <w:t>法定代表人（签字或盖章）：</w:t>
      </w:r>
    </w:p>
    <w:p>
      <w:pPr>
        <w:pageBreakBefore w:val="0"/>
        <w:widowControl w:val="0"/>
        <w:kinsoku/>
        <w:wordWrap/>
        <w:overflowPunct/>
        <w:topLinePunct w:val="0"/>
        <w:bidi w:val="0"/>
        <w:spacing w:line="480" w:lineRule="exact"/>
        <w:ind w:firstLine="480" w:firstLineChars="200"/>
        <w:jc w:val="left"/>
        <w:rPr>
          <w:rFonts w:hint="eastAsia" w:ascii="仿宋_GB2312" w:hAnsi="仿宋_GB2312" w:cs="仿宋_GB2312" w:eastAsiaTheme="minorEastAsia"/>
          <w:color w:val="000000"/>
          <w:sz w:val="24"/>
          <w:szCs w:val="30"/>
        </w:rPr>
      </w:pPr>
    </w:p>
    <w:p>
      <w:pPr>
        <w:pageBreakBefore w:val="0"/>
        <w:widowControl w:val="0"/>
        <w:tabs>
          <w:tab w:val="left" w:pos="3677"/>
        </w:tabs>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sectPr>
          <w:pgSz w:w="11906" w:h="16838"/>
          <w:pgMar w:top="1418" w:right="1555" w:bottom="1418" w:left="1531"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仿宋_GB2312" w:hAnsi="仿宋_GB2312" w:cs="仿宋_GB2312" w:eastAsiaTheme="minorEastAsia"/>
          <w:color w:val="000000"/>
          <w:sz w:val="24"/>
          <w:szCs w:val="30"/>
        </w:rPr>
        <w:t xml:space="preserve">签约代表（签字）：           </w:t>
      </w:r>
      <w:r>
        <w:rPr>
          <w:rFonts w:hint="eastAsia" w:ascii="仿宋_GB2312" w:hAnsi="仿宋_GB2312" w:cs="仿宋_GB2312" w:eastAsiaTheme="minorEastAsia"/>
          <w:color w:val="000000"/>
          <w:sz w:val="24"/>
          <w:szCs w:val="30"/>
          <w:lang w:eastAsia="zh-CN"/>
        </w:rPr>
        <w:t xml:space="preserve"> </w:t>
      </w:r>
      <w:r>
        <w:rPr>
          <w:rFonts w:hint="eastAsia" w:ascii="仿宋_GB2312" w:hAnsi="仿宋_GB2312" w:cs="仿宋_GB2312" w:eastAsiaTheme="minorEastAsia"/>
          <w:color w:val="000000"/>
          <w:sz w:val="24"/>
          <w:szCs w:val="30"/>
          <w:lang w:val="en-US" w:eastAsia="zh-CN"/>
        </w:rPr>
        <w:t xml:space="preserve">        </w:t>
      </w:r>
      <w:r>
        <w:rPr>
          <w:rFonts w:hint="eastAsia" w:ascii="仿宋_GB2312" w:hAnsi="仿宋_GB2312" w:cs="仿宋_GB2312" w:eastAsiaTheme="minorEastAsia"/>
          <w:color w:val="000000"/>
          <w:sz w:val="24"/>
          <w:szCs w:val="30"/>
        </w:rPr>
        <w:t>签约代表（签字）：</w:t>
      </w:r>
    </w:p>
    <w:p>
      <w:pPr>
        <w:pStyle w:val="4"/>
        <w:bidi w:val="0"/>
        <w:spacing w:line="480" w:lineRule="exact"/>
        <w:ind w:firstLine="482" w:firstLineChars="200"/>
        <w:jc w:val="left"/>
        <w:rPr>
          <w:rFonts w:eastAsiaTheme="minorEastAsia"/>
          <w:b/>
          <w:bCs w:val="0"/>
        </w:rPr>
      </w:pPr>
      <w:bookmarkStart w:id="1078" w:name="_Toc14497"/>
      <w:r>
        <w:rPr>
          <w:rFonts w:eastAsiaTheme="minorEastAsia"/>
          <w:b/>
          <w:bCs w:val="0"/>
        </w:rPr>
        <w:t>附</w:t>
      </w:r>
      <w:bookmarkStart w:id="1079" w:name="_Toc296346727"/>
      <w:bookmarkStart w:id="1080" w:name="_Toc296503226"/>
      <w:bookmarkStart w:id="1081" w:name="_Toc267261693"/>
      <w:bookmarkStart w:id="1082" w:name="_Toc296944565"/>
      <w:bookmarkStart w:id="1083" w:name="_Toc296891266"/>
      <w:bookmarkStart w:id="1084" w:name="_Toc296891054"/>
      <w:bookmarkStart w:id="1085" w:name="_Toc296347225"/>
      <w:r>
        <w:rPr>
          <w:rFonts w:eastAsiaTheme="minorEastAsia"/>
          <w:b/>
          <w:bCs w:val="0"/>
        </w:rPr>
        <w:t>件</w:t>
      </w:r>
      <w:r>
        <w:rPr>
          <w:rFonts w:hint="eastAsia" w:eastAsiaTheme="minorEastAsia"/>
          <w:b/>
          <w:bCs w:val="0"/>
          <w:lang w:val="en-US" w:eastAsia="zh-CN"/>
        </w:rPr>
        <w:t>4</w:t>
      </w:r>
      <w:r>
        <w:rPr>
          <w:rFonts w:eastAsiaTheme="minorEastAsia"/>
          <w:b/>
          <w:bCs w:val="0"/>
        </w:rPr>
        <w:t>：</w:t>
      </w:r>
      <w:bookmarkEnd w:id="1079"/>
      <w:bookmarkEnd w:id="1080"/>
      <w:bookmarkEnd w:id="1081"/>
      <w:bookmarkEnd w:id="1082"/>
      <w:bookmarkEnd w:id="1083"/>
      <w:bookmarkEnd w:id="1084"/>
      <w:bookmarkEnd w:id="1085"/>
      <w:r>
        <w:rPr>
          <w:rFonts w:eastAsiaTheme="minorEastAsia"/>
          <w:b/>
          <w:bCs w:val="0"/>
        </w:rPr>
        <w:t>工程质量保修书</w:t>
      </w:r>
      <w:bookmarkEnd w:id="1078"/>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发包人（全称）：</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lang w:val="en-US" w:eastAsia="zh-CN"/>
        </w:rPr>
        <w:t>寿光南水北调供水有限公司</w:t>
      </w:r>
      <w:r>
        <w:rPr>
          <w:rFonts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承包人（全称）：</w:t>
      </w:r>
      <w:r>
        <w:rPr>
          <w:rFonts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rPr>
        <w:t xml:space="preserve"> </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发包人和承包人根据《中华人民共和国建筑法》和《建设工程质量管理条例》，经协商一致就</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lang w:val="en-US" w:eastAsia="zh-CN"/>
        </w:rPr>
        <w:t>羊口河北湿地供水管线工程</w:t>
      </w:r>
      <w:r>
        <w:rPr>
          <w:rFonts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rPr>
        <w:t>（工程全称）签订工程质量保修书。</w:t>
      </w:r>
    </w:p>
    <w:p>
      <w:pPr>
        <w:pageBreakBefore w:val="0"/>
        <w:widowControl w:val="0"/>
        <w:kinsoku/>
        <w:wordWrap/>
        <w:overflowPunct/>
        <w:topLinePunct w:val="0"/>
        <w:bidi w:val="0"/>
        <w:spacing w:line="480" w:lineRule="exact"/>
        <w:ind w:firstLine="0" w:firstLineChars="0"/>
        <w:jc w:val="left"/>
        <w:outlineLvl w:val="9"/>
        <w:rPr>
          <w:rFonts w:ascii="Times New Roman" w:hAnsi="Times New Roman" w:eastAsiaTheme="minorEastAsia"/>
          <w:color w:val="000000"/>
          <w:sz w:val="24"/>
          <w:szCs w:val="30"/>
        </w:rPr>
      </w:pPr>
      <w:r>
        <w:rPr>
          <w:rFonts w:ascii="Times New Roman" w:hAnsi="Times New Roman" w:eastAsiaTheme="minorEastAsia"/>
          <w:color w:val="000000"/>
          <w:sz w:val="24"/>
          <w:szCs w:val="30"/>
        </w:rPr>
        <w:t>一、工程质量保修范围和内容</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承包人在质量保修期内，按照有关法律规定和合同约定，承担工程质量保修责任。</w:t>
      </w:r>
    </w:p>
    <w:p>
      <w:pPr>
        <w:pageBreakBefore w:val="0"/>
        <w:widowControl w:val="0"/>
        <w:kinsoku/>
        <w:wordWrap/>
        <w:overflowPunct/>
        <w:topLinePunct w:val="0"/>
        <w:bidi w:val="0"/>
        <w:spacing w:line="480" w:lineRule="exact"/>
        <w:ind w:firstLine="0" w:firstLineChars="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w:t>
      </w:r>
      <w:r>
        <w:rPr>
          <w:rFonts w:hint="eastAsia" w:ascii="Times New Roman" w:hAnsi="Times New Roman" w:eastAsiaTheme="minorEastAsia"/>
          <w:color w:val="000000"/>
          <w:sz w:val="24"/>
          <w:szCs w:val="30"/>
          <w:lang w:eastAsia="zh-CN"/>
        </w:rPr>
        <w:t>：</w:t>
      </w:r>
      <w:r>
        <w:rPr>
          <w:rFonts w:hint="eastAsia" w:ascii="Times New Roman" w:hAnsi="Times New Roman" w:eastAsiaTheme="minorEastAsia"/>
          <w:color w:val="000000"/>
          <w:sz w:val="24"/>
          <w:szCs w:val="30"/>
          <w:lang w:val="en-US" w:eastAsia="zh-CN"/>
        </w:rPr>
        <w:t>承包人完成的所有项目内容。</w:t>
      </w:r>
    </w:p>
    <w:p>
      <w:pPr>
        <w:pageBreakBefore w:val="0"/>
        <w:widowControl w:val="0"/>
        <w:kinsoku/>
        <w:wordWrap/>
        <w:overflowPunct/>
        <w:topLinePunct w:val="0"/>
        <w:bidi w:val="0"/>
        <w:spacing w:line="480" w:lineRule="exact"/>
        <w:ind w:firstLine="0" w:firstLineChars="0"/>
        <w:jc w:val="left"/>
        <w:outlineLvl w:val="9"/>
        <w:rPr>
          <w:rFonts w:ascii="Times New Roman" w:hAnsi="Times New Roman" w:eastAsiaTheme="minorEastAsia"/>
          <w:color w:val="000000"/>
          <w:sz w:val="24"/>
          <w:szCs w:val="30"/>
        </w:rPr>
      </w:pPr>
      <w:r>
        <w:rPr>
          <w:rFonts w:ascii="Times New Roman" w:hAnsi="Times New Roman" w:eastAsiaTheme="minorEastAsia"/>
          <w:color w:val="000000"/>
          <w:sz w:val="24"/>
          <w:szCs w:val="30"/>
        </w:rPr>
        <w:t>二、质量保修期</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根据《建设工程质量管理条例》及有关规定，工程的质量保修期如下：</w:t>
      </w:r>
    </w:p>
    <w:p>
      <w:pPr>
        <w:pageBreakBefore w:val="0"/>
        <w:widowControl w:val="0"/>
        <w:kinsoku/>
        <w:wordWrap/>
        <w:overflowPunct/>
        <w:topLinePunct w:val="0"/>
        <w:bidi w:val="0"/>
        <w:spacing w:line="480" w:lineRule="exact"/>
        <w:ind w:firstLine="0" w:firstLineChars="0"/>
        <w:jc w:val="left"/>
        <w:rPr>
          <w:rFonts w:ascii="Times New Roman" w:hAnsi="Times New Roman" w:eastAsiaTheme="minorEastAsia"/>
          <w:color w:val="000000"/>
          <w:sz w:val="24"/>
          <w:szCs w:val="30"/>
        </w:rPr>
      </w:pPr>
      <w:r>
        <w:rPr>
          <w:rFonts w:hint="eastAsia" w:ascii="仿宋_GB2312" w:eastAsiaTheme="minorEastAsia"/>
          <w:sz w:val="24"/>
          <w:szCs w:val="30"/>
        </w:rPr>
        <w:t>1</w:t>
      </w:r>
      <w:r>
        <w:rPr>
          <w:rFonts w:hint="eastAsia" w:ascii="Times New Roman" w:hAnsi="Times New Roman" w:eastAsiaTheme="minorEastAsia"/>
          <w:color w:val="000000"/>
          <w:sz w:val="24"/>
          <w:szCs w:val="30"/>
        </w:rPr>
        <w:t>．</w:t>
      </w:r>
      <w:r>
        <w:rPr>
          <w:rFonts w:hint="eastAsia" w:ascii="仿宋_GB2312" w:eastAsiaTheme="minorEastAsia"/>
          <w:sz w:val="24"/>
          <w:szCs w:val="30"/>
        </w:rPr>
        <w:t>地基基础工程和主体结构工程为设计文件规定的工程合理使用年限；</w:t>
      </w:r>
      <w:r>
        <w:rPr>
          <w:rFonts w:hint="eastAsia" w:ascii="Times New Roman" w:hAnsi="Times New Roman" w:eastAsiaTheme="minorEastAsia"/>
          <w:color w:val="000000"/>
          <w:sz w:val="24"/>
          <w:szCs w:val="30"/>
        </w:rPr>
        <w:t>2</w:t>
      </w:r>
      <w:r>
        <w:rPr>
          <w:rFonts w:hint="eastAsia" w:ascii="仿宋_GB2312" w:eastAsiaTheme="minorEastAsia"/>
          <w:sz w:val="24"/>
          <w:szCs w:val="30"/>
        </w:rPr>
        <w:t>．</w:t>
      </w:r>
      <w:r>
        <w:rPr>
          <w:rFonts w:ascii="Times New Roman" w:hAnsi="Times New Roman" w:eastAsiaTheme="minorEastAsia"/>
          <w:color w:val="000000"/>
          <w:sz w:val="24"/>
          <w:szCs w:val="30"/>
        </w:rPr>
        <w:t>屋面防水工程、有防水要求的卫生间、房间和外墙面的防渗</w:t>
      </w:r>
      <w:r>
        <w:rPr>
          <w:rFonts w:hint="eastAsia" w:ascii="Times New Roman" w:hAnsi="Times New Roman" w:eastAsiaTheme="minorEastAsia"/>
          <w:color w:val="000000"/>
          <w:sz w:val="24"/>
          <w:szCs w:val="30"/>
        </w:rPr>
        <w:t xml:space="preserve"> 为</w:t>
      </w:r>
      <w:r>
        <w:rPr>
          <w:rFonts w:hint="eastAsia" w:ascii="Times New Roman" w:hAnsi="Times New Roman" w:eastAsiaTheme="minorEastAsia"/>
          <w:color w:val="000000"/>
          <w:sz w:val="24"/>
          <w:szCs w:val="30"/>
          <w:u w:val="single"/>
        </w:rPr>
        <w:t>5</w:t>
      </w:r>
      <w:r>
        <w:rPr>
          <w:rFonts w:ascii="Times New Roman" w:hAnsi="Times New Roman" w:eastAsiaTheme="minorEastAsia"/>
          <w:color w:val="000000"/>
          <w:sz w:val="24"/>
          <w:szCs w:val="30"/>
        </w:rPr>
        <w:t>年；</w:t>
      </w:r>
    </w:p>
    <w:p>
      <w:pPr>
        <w:pageBreakBefore w:val="0"/>
        <w:widowControl w:val="0"/>
        <w:kinsoku/>
        <w:wordWrap/>
        <w:overflowPunct/>
        <w:topLinePunct w:val="0"/>
        <w:bidi w:val="0"/>
        <w:spacing w:line="480" w:lineRule="exact"/>
        <w:ind w:firstLine="0" w:firstLineChars="0"/>
        <w:jc w:val="left"/>
        <w:rPr>
          <w:rFonts w:ascii="Times New Roman" w:hAnsi="Times New Roman" w:eastAsiaTheme="minorEastAsia"/>
          <w:color w:val="000000"/>
          <w:sz w:val="24"/>
          <w:szCs w:val="30"/>
        </w:rPr>
      </w:pPr>
      <w:r>
        <w:rPr>
          <w:rFonts w:hint="eastAsia" w:ascii="Times New Roman" w:hAnsi="Times New Roman" w:eastAsiaTheme="minorEastAsia"/>
          <w:color w:val="000000"/>
          <w:sz w:val="24"/>
          <w:szCs w:val="30"/>
          <w:lang w:val="en-US" w:eastAsia="zh-CN"/>
        </w:rPr>
        <w:t>2.</w:t>
      </w:r>
      <w:r>
        <w:rPr>
          <w:rFonts w:ascii="Times New Roman" w:hAnsi="Times New Roman" w:eastAsiaTheme="minorEastAsia"/>
          <w:color w:val="000000"/>
          <w:sz w:val="24"/>
          <w:szCs w:val="30"/>
        </w:rPr>
        <w:t>质量保修期自工程竣工验收合格之日起计算。</w:t>
      </w:r>
    </w:p>
    <w:p>
      <w:pPr>
        <w:pageBreakBefore w:val="0"/>
        <w:widowControl w:val="0"/>
        <w:kinsoku/>
        <w:wordWrap/>
        <w:overflowPunct/>
        <w:topLinePunct w:val="0"/>
        <w:bidi w:val="0"/>
        <w:spacing w:line="480" w:lineRule="exact"/>
        <w:ind w:firstLine="0" w:firstLineChars="0"/>
        <w:jc w:val="left"/>
        <w:outlineLvl w:val="9"/>
        <w:rPr>
          <w:rFonts w:ascii="Times New Roman" w:hAnsi="Times New Roman" w:eastAsiaTheme="minorEastAsia"/>
          <w:color w:val="000000"/>
          <w:sz w:val="24"/>
          <w:szCs w:val="30"/>
        </w:rPr>
      </w:pPr>
      <w:r>
        <w:rPr>
          <w:rFonts w:ascii="Times New Roman" w:hAnsi="Times New Roman" w:eastAsiaTheme="minorEastAsia"/>
          <w:color w:val="000000"/>
          <w:sz w:val="24"/>
          <w:szCs w:val="30"/>
        </w:rPr>
        <w:t>三、缺陷责任期</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工程缺陷责任期为</w:t>
      </w:r>
      <w:r>
        <w:rPr>
          <w:rFonts w:hint="eastAsia" w:ascii="Times New Roman" w:hAnsi="Times New Roman" w:eastAsiaTheme="minorEastAsia"/>
          <w:color w:val="000000"/>
          <w:sz w:val="24"/>
          <w:szCs w:val="30"/>
          <w:lang w:val="en-US" w:eastAsia="zh-CN"/>
        </w:rPr>
        <w:t>12</w:t>
      </w:r>
      <w:r>
        <w:rPr>
          <w:rFonts w:ascii="Times New Roman" w:hAnsi="Times New Roman" w:eastAsiaTheme="minorEastAsia"/>
          <w:color w:val="000000"/>
          <w:sz w:val="24"/>
          <w:szCs w:val="30"/>
        </w:rPr>
        <w:t>个月，缺陷责任期自工程</w:t>
      </w:r>
      <w:r>
        <w:rPr>
          <w:rFonts w:hint="eastAsia" w:ascii="Times New Roman" w:hAnsi="Times New Roman" w:eastAsiaTheme="minorEastAsia"/>
          <w:color w:val="000000"/>
          <w:sz w:val="24"/>
          <w:szCs w:val="30"/>
        </w:rPr>
        <w:t>通过竣工验收</w:t>
      </w:r>
      <w:r>
        <w:rPr>
          <w:rFonts w:ascii="Times New Roman" w:hAnsi="Times New Roman" w:eastAsiaTheme="minorEastAsia"/>
          <w:color w:val="000000"/>
          <w:sz w:val="24"/>
          <w:szCs w:val="30"/>
        </w:rPr>
        <w:t>之日起计算。单位工程先于全部工程进行验收，单位工程缺陷责任期自单位工程验收合格之日起算。</w:t>
      </w:r>
    </w:p>
    <w:p>
      <w:pPr>
        <w:pageBreakBefore w:val="0"/>
        <w:widowControl w:val="0"/>
        <w:kinsoku/>
        <w:wordWrap/>
        <w:overflowPunct/>
        <w:topLinePunct w:val="0"/>
        <w:bidi w:val="0"/>
        <w:spacing w:line="480" w:lineRule="exact"/>
        <w:ind w:firstLine="0" w:firstLineChars="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缺陷责任期终止后，发包人应退还剩余的质量保证金。</w:t>
      </w:r>
    </w:p>
    <w:p>
      <w:pPr>
        <w:pageBreakBefore w:val="0"/>
        <w:widowControl w:val="0"/>
        <w:kinsoku/>
        <w:wordWrap/>
        <w:overflowPunct/>
        <w:topLinePunct w:val="0"/>
        <w:bidi w:val="0"/>
        <w:spacing w:line="480" w:lineRule="exact"/>
        <w:ind w:firstLine="0" w:firstLineChars="0"/>
        <w:jc w:val="left"/>
        <w:outlineLvl w:val="9"/>
        <w:rPr>
          <w:rFonts w:ascii="Times New Roman" w:hAnsi="Times New Roman" w:eastAsiaTheme="minorEastAsia"/>
          <w:color w:val="000000"/>
          <w:sz w:val="24"/>
          <w:szCs w:val="30"/>
        </w:rPr>
      </w:pPr>
      <w:r>
        <w:rPr>
          <w:rFonts w:ascii="Times New Roman" w:hAnsi="Times New Roman" w:eastAsiaTheme="minorEastAsia"/>
          <w:color w:val="000000"/>
          <w:sz w:val="24"/>
          <w:szCs w:val="30"/>
        </w:rPr>
        <w:t xml:space="preserve"> 四、质量保修责任</w:t>
      </w:r>
    </w:p>
    <w:p>
      <w:pPr>
        <w:pageBreakBefore w:val="0"/>
        <w:widowControl w:val="0"/>
        <w:kinsoku/>
        <w:wordWrap/>
        <w:overflowPunct/>
        <w:topLinePunct w:val="0"/>
        <w:bidi w:val="0"/>
        <w:spacing w:line="480" w:lineRule="exact"/>
        <w:ind w:left="0" w:leftChars="0" w:firstLine="480" w:firstLineChars="200"/>
        <w:jc w:val="left"/>
        <w:rPr>
          <w:rFonts w:ascii="Times New Roman" w:hAnsi="Times New Roman" w:eastAsiaTheme="minorEastAsia"/>
          <w:color w:val="000000"/>
          <w:sz w:val="24"/>
          <w:szCs w:val="30"/>
        </w:rPr>
      </w:pPr>
      <w:r>
        <w:rPr>
          <w:rFonts w:hint="eastAsia" w:ascii="Times New Roman" w:hAnsi="Times New Roman" w:eastAsiaTheme="minorEastAsia"/>
          <w:color w:val="000000"/>
          <w:sz w:val="24"/>
          <w:szCs w:val="30"/>
        </w:rPr>
        <w:t>1</w:t>
      </w:r>
      <w:r>
        <w:rPr>
          <w:rFonts w:hint="eastAsia" w:ascii="仿宋_GB2312" w:eastAsiaTheme="minorEastAsia"/>
          <w:sz w:val="24"/>
          <w:szCs w:val="30"/>
        </w:rPr>
        <w:t>．</w:t>
      </w:r>
      <w:r>
        <w:rPr>
          <w:rFonts w:ascii="Times New Roman" w:hAnsi="Times New Roman" w:eastAsiaTheme="minorEastAsia"/>
          <w:color w:val="000000"/>
          <w:sz w:val="24"/>
          <w:szCs w:val="30"/>
        </w:rPr>
        <w:t>属于保修范围、内容的项目，承包人应当在接到保修通知之日起7天内派人保修。承包人不在约定期限内派人保修的，发包人可以委托他人修理。</w:t>
      </w:r>
    </w:p>
    <w:p>
      <w:pPr>
        <w:pageBreakBefore w:val="0"/>
        <w:widowControl w:val="0"/>
        <w:kinsoku/>
        <w:wordWrap/>
        <w:overflowPunct/>
        <w:topLinePunct w:val="0"/>
        <w:bidi w:val="0"/>
        <w:spacing w:line="480" w:lineRule="exact"/>
        <w:ind w:left="0" w:leftChars="0" w:firstLine="480" w:firstLineChars="200"/>
        <w:jc w:val="left"/>
        <w:rPr>
          <w:rFonts w:ascii="Times New Roman" w:hAnsi="Times New Roman" w:eastAsiaTheme="minorEastAsia"/>
          <w:color w:val="000000"/>
          <w:sz w:val="24"/>
          <w:szCs w:val="30"/>
        </w:rPr>
      </w:pPr>
      <w:r>
        <w:rPr>
          <w:rFonts w:hint="eastAsia" w:ascii="Times New Roman" w:hAnsi="Times New Roman" w:eastAsiaTheme="minorEastAsia"/>
          <w:color w:val="000000"/>
          <w:sz w:val="24"/>
          <w:szCs w:val="30"/>
        </w:rPr>
        <w:t>2</w:t>
      </w:r>
      <w:r>
        <w:rPr>
          <w:rFonts w:hint="eastAsia" w:ascii="仿宋_GB2312" w:eastAsiaTheme="minorEastAsia"/>
          <w:sz w:val="24"/>
          <w:szCs w:val="30"/>
        </w:rPr>
        <w:t>．</w:t>
      </w:r>
      <w:r>
        <w:rPr>
          <w:rFonts w:ascii="Times New Roman" w:hAnsi="Times New Roman" w:eastAsiaTheme="minorEastAsia"/>
          <w:color w:val="000000"/>
          <w:sz w:val="24"/>
          <w:szCs w:val="30"/>
        </w:rPr>
        <w:t>发生紧急事故需抢修的，承包人在接到事故通知后，应当立即到达事故现场抢修。</w:t>
      </w:r>
    </w:p>
    <w:p>
      <w:pPr>
        <w:pageBreakBefore w:val="0"/>
        <w:widowControl w:val="0"/>
        <w:kinsoku/>
        <w:wordWrap/>
        <w:overflowPunct/>
        <w:topLinePunct w:val="0"/>
        <w:bidi w:val="0"/>
        <w:spacing w:line="480" w:lineRule="exact"/>
        <w:ind w:left="0" w:leftChars="0" w:firstLine="480" w:firstLineChars="200"/>
        <w:jc w:val="left"/>
        <w:rPr>
          <w:rFonts w:ascii="Times New Roman" w:hAnsi="Times New Roman" w:eastAsiaTheme="minorEastAsia"/>
          <w:color w:val="000000"/>
          <w:sz w:val="24"/>
          <w:szCs w:val="30"/>
        </w:rPr>
      </w:pPr>
      <w:r>
        <w:rPr>
          <w:rFonts w:hint="eastAsia" w:ascii="Times New Roman" w:hAnsi="Times New Roman" w:eastAsiaTheme="minorEastAsia"/>
          <w:color w:val="000000"/>
          <w:sz w:val="24"/>
          <w:szCs w:val="30"/>
        </w:rPr>
        <w:t>3</w:t>
      </w:r>
      <w:r>
        <w:rPr>
          <w:rFonts w:hint="eastAsia" w:ascii="仿宋_GB2312" w:eastAsiaTheme="minorEastAsia"/>
          <w:sz w:val="24"/>
          <w:szCs w:val="30"/>
        </w:rPr>
        <w:t>．</w:t>
      </w:r>
      <w:r>
        <w:rPr>
          <w:rFonts w:ascii="Times New Roman" w:hAnsi="Times New Roman" w:eastAsiaTheme="minorEastAsia"/>
          <w:color w:val="000000"/>
          <w:sz w:val="24"/>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widowControl w:val="0"/>
        <w:kinsoku/>
        <w:wordWrap/>
        <w:overflowPunct/>
        <w:topLinePunct w:val="0"/>
        <w:bidi w:val="0"/>
        <w:spacing w:line="480" w:lineRule="exact"/>
        <w:ind w:left="240" w:leftChars="100" w:firstLine="480" w:firstLineChars="200"/>
        <w:jc w:val="left"/>
        <w:rPr>
          <w:rFonts w:ascii="Times New Roman" w:hAnsi="Times New Roman" w:eastAsiaTheme="minorEastAsia"/>
          <w:color w:val="000000"/>
          <w:sz w:val="24"/>
          <w:szCs w:val="30"/>
        </w:rPr>
      </w:pPr>
      <w:r>
        <w:rPr>
          <w:rFonts w:hint="eastAsia" w:ascii="Times New Roman" w:hAnsi="Times New Roman" w:eastAsiaTheme="minorEastAsia"/>
          <w:color w:val="000000"/>
          <w:sz w:val="24"/>
          <w:szCs w:val="30"/>
        </w:rPr>
        <w:t>4</w:t>
      </w:r>
      <w:r>
        <w:rPr>
          <w:rFonts w:hint="eastAsia" w:ascii="仿宋_GB2312" w:eastAsiaTheme="minorEastAsia"/>
          <w:sz w:val="24"/>
          <w:szCs w:val="30"/>
        </w:rPr>
        <w:t>．</w:t>
      </w:r>
      <w:r>
        <w:rPr>
          <w:rFonts w:ascii="Times New Roman" w:hAnsi="Times New Roman" w:eastAsiaTheme="minorEastAsia"/>
          <w:color w:val="000000"/>
          <w:sz w:val="24"/>
          <w:szCs w:val="30"/>
        </w:rPr>
        <w:t>质量保修完成后，由发包人组织验收。</w:t>
      </w:r>
    </w:p>
    <w:p>
      <w:pPr>
        <w:pageBreakBefore w:val="0"/>
        <w:widowControl w:val="0"/>
        <w:kinsoku/>
        <w:wordWrap/>
        <w:overflowPunct/>
        <w:topLinePunct w:val="0"/>
        <w:bidi w:val="0"/>
        <w:spacing w:line="480" w:lineRule="exact"/>
        <w:ind w:firstLine="480" w:firstLineChars="200"/>
        <w:jc w:val="left"/>
        <w:outlineLvl w:val="9"/>
        <w:rPr>
          <w:rFonts w:ascii="Times New Roman" w:hAnsi="Times New Roman" w:eastAsiaTheme="minorEastAsia"/>
          <w:color w:val="000000"/>
          <w:sz w:val="24"/>
          <w:szCs w:val="30"/>
        </w:rPr>
      </w:pPr>
      <w:r>
        <w:rPr>
          <w:rFonts w:ascii="Times New Roman" w:hAnsi="Times New Roman" w:eastAsiaTheme="minorEastAsia"/>
          <w:color w:val="000000"/>
          <w:sz w:val="24"/>
          <w:szCs w:val="30"/>
        </w:rPr>
        <w:t>五、保修费用</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保修费用由</w:t>
      </w:r>
      <w:r>
        <w:rPr>
          <w:rFonts w:hint="eastAsia" w:ascii="Times New Roman" w:hAnsi="Times New Roman" w:eastAsiaTheme="minorEastAsia"/>
          <w:color w:val="000000"/>
          <w:sz w:val="24"/>
          <w:szCs w:val="30"/>
          <w:u w:val="single"/>
        </w:rPr>
        <w:t>承包人</w:t>
      </w:r>
      <w:r>
        <w:rPr>
          <w:rFonts w:ascii="Times New Roman" w:hAnsi="Times New Roman" w:eastAsiaTheme="minorEastAsia"/>
          <w:color w:val="000000"/>
          <w:sz w:val="24"/>
          <w:szCs w:val="30"/>
        </w:rPr>
        <w:t>承担。</w:t>
      </w:r>
    </w:p>
    <w:p>
      <w:pPr>
        <w:pageBreakBefore w:val="0"/>
        <w:widowControl w:val="0"/>
        <w:numPr>
          <w:ilvl w:val="0"/>
          <w:numId w:val="6"/>
        </w:numPr>
        <w:kinsoku/>
        <w:wordWrap/>
        <w:overflowPunct/>
        <w:topLinePunct w:val="0"/>
        <w:bidi w:val="0"/>
        <w:spacing w:line="480" w:lineRule="exact"/>
        <w:ind w:firstLine="480" w:firstLineChars="200"/>
        <w:jc w:val="left"/>
        <w:outlineLvl w:val="9"/>
        <w:rPr>
          <w:rFonts w:ascii="Times New Roman" w:hAnsi="Times New Roman" w:eastAsiaTheme="minorEastAsia"/>
          <w:color w:val="000000"/>
          <w:sz w:val="24"/>
          <w:szCs w:val="30"/>
        </w:rPr>
      </w:pPr>
      <w:r>
        <w:rPr>
          <w:rFonts w:ascii="Times New Roman" w:hAnsi="Times New Roman" w:eastAsiaTheme="minorEastAsia"/>
          <w:color w:val="000000"/>
          <w:sz w:val="24"/>
          <w:szCs w:val="30"/>
        </w:rPr>
        <w:t>双方约定的其他工程质量保修事项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outlineLvl w:val="9"/>
        <w:rPr>
          <w:rFonts w:ascii="Times New Roman" w:hAnsi="Times New Roman" w:eastAsiaTheme="minorEastAsia"/>
          <w:color w:val="000000"/>
          <w:sz w:val="24"/>
          <w:szCs w:val="30"/>
          <w:u w:val="single"/>
        </w:rPr>
      </w:pPr>
      <w:r>
        <w:rPr>
          <w:rFonts w:hint="eastAsia" w:ascii="Times New Roman" w:hAnsi="Times New Roman" w:eastAsiaTheme="minorEastAsia"/>
          <w:color w:val="000000"/>
          <w:sz w:val="24"/>
          <w:szCs w:val="30"/>
          <w:u w:val="single"/>
        </w:rPr>
        <w:t>在保修期内，承包人应成立保修小组，接到维修通知 24 小时内派人保修。承包人不在约定期限内派人保修的，发包人可以委托他人修理，费用由承包人承担，发包人有权从质保金中直接扣除，无法从质保金中扣除的应由承包人另行支付。他人维修产生的费用由发包人审核确认而无需经承包人认可</w:t>
      </w:r>
      <w:r>
        <w:rPr>
          <w:rFonts w:ascii="Times New Roman" w:hAnsi="Times New Roman" w:eastAsiaTheme="minorEastAsia"/>
          <w:color w:val="000000"/>
          <w:sz w:val="24"/>
          <w:szCs w:val="30"/>
          <w:u w:val="single"/>
        </w:rPr>
        <w:t>。</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r>
        <w:rPr>
          <w:rFonts w:ascii="Times New Roman" w:hAnsi="Times New Roman" w:eastAsiaTheme="minorEastAsia"/>
          <w:color w:val="000000"/>
          <w:sz w:val="24"/>
          <w:szCs w:val="30"/>
        </w:rPr>
        <w:t>工程质量保修书由发包人、承包人在工程竣工验收前共同签署，作为施工合同附件，其有效期限至保修期满。</w:t>
      </w:r>
    </w:p>
    <w:p>
      <w:pPr>
        <w:pageBreakBefore w:val="0"/>
        <w:widowControl w:val="0"/>
        <w:kinsoku/>
        <w:wordWrap/>
        <w:overflowPunct/>
        <w:topLinePunct w:val="0"/>
        <w:bidi w:val="0"/>
        <w:spacing w:line="480" w:lineRule="exact"/>
        <w:ind w:firstLine="480" w:firstLineChars="200"/>
        <w:jc w:val="left"/>
        <w:rPr>
          <w:rFonts w:ascii="Times New Roman" w:hAnsi="Times New Roman" w:eastAsiaTheme="minorEastAsia"/>
          <w:color w:val="000000"/>
          <w:sz w:val="24"/>
          <w:szCs w:val="30"/>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Theme="minorEastAsia"/>
          <w:color w:val="000000"/>
          <w:sz w:val="24"/>
          <w:szCs w:val="30"/>
        </w:rPr>
      </w:pPr>
      <w:r>
        <w:rPr>
          <w:rFonts w:ascii="Times New Roman" w:hAnsi="Times New Roman" w:eastAsiaTheme="minorEastAsia"/>
          <w:color w:val="000000"/>
          <w:sz w:val="24"/>
          <w:szCs w:val="30"/>
        </w:rPr>
        <w:t>发包人(公章)：</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rPr>
        <w:t xml:space="preserve"> </w:t>
      </w:r>
      <w:r>
        <w:rPr>
          <w:rFonts w:hint="eastAsia" w:ascii="Times New Roman" w:hAnsi="Times New Roman" w:eastAsiaTheme="minorEastAsia"/>
          <w:color w:val="000000"/>
          <w:sz w:val="24"/>
          <w:szCs w:val="30"/>
          <w:lang w:val="en-US" w:eastAsia="zh-CN"/>
        </w:rPr>
        <w:t xml:space="preserve">      </w:t>
      </w:r>
      <w:r>
        <w:rPr>
          <w:rFonts w:ascii="Times New Roman" w:hAnsi="Times New Roman" w:eastAsiaTheme="minorEastAsia"/>
          <w:color w:val="000000"/>
          <w:sz w:val="24"/>
          <w:szCs w:val="30"/>
        </w:rPr>
        <w:t>承包人(公章)：</w:t>
      </w:r>
      <w:r>
        <w:rPr>
          <w:rFonts w:hint="eastAsia" w:ascii="Times New Roman" w:hAnsi="Times New Roman" w:eastAsiaTheme="minorEastAsia"/>
          <w:color w:val="000000"/>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Theme="minorEastAsia"/>
          <w:color w:val="000000"/>
          <w:sz w:val="24"/>
          <w:szCs w:val="30"/>
        </w:rPr>
      </w:pPr>
      <w:r>
        <w:rPr>
          <w:rFonts w:ascii="Times New Roman" w:hAnsi="Times New Roman" w:eastAsiaTheme="minorEastAsia"/>
          <w:color w:val="000000"/>
          <w:sz w:val="24"/>
          <w:szCs w:val="30"/>
        </w:rPr>
        <w:t>地  址：</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rPr>
        <w:t xml:space="preserve"> </w:t>
      </w:r>
      <w:r>
        <w:rPr>
          <w:rFonts w:hint="eastAsia" w:ascii="Times New Roman" w:hAnsi="Times New Roman" w:eastAsiaTheme="minorEastAsia"/>
          <w:color w:val="000000"/>
          <w:sz w:val="24"/>
          <w:szCs w:val="30"/>
          <w:lang w:val="en-US" w:eastAsia="zh-CN"/>
        </w:rPr>
        <w:t xml:space="preserve">       </w:t>
      </w:r>
      <w:r>
        <w:rPr>
          <w:rFonts w:ascii="Times New Roman" w:hAnsi="Times New Roman" w:eastAsiaTheme="minorEastAsia"/>
          <w:color w:val="000000"/>
          <w:sz w:val="24"/>
          <w:szCs w:val="30"/>
        </w:rPr>
        <w:t>地  址：</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Theme="minorEastAsia"/>
          <w:color w:val="000000"/>
          <w:sz w:val="24"/>
          <w:szCs w:val="30"/>
        </w:rPr>
      </w:pPr>
      <w:r>
        <w:rPr>
          <w:rFonts w:ascii="Times New Roman" w:hAnsi="Times New Roman" w:eastAsiaTheme="minorEastAsia"/>
          <w:color w:val="000000"/>
          <w:sz w:val="24"/>
          <w:szCs w:val="30"/>
        </w:rPr>
        <w:t>法定代表人(签字)：</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lang w:val="en-US" w:eastAsia="zh-CN"/>
        </w:rPr>
        <w:t xml:space="preserve">    </w:t>
      </w:r>
      <w:r>
        <w:rPr>
          <w:rFonts w:ascii="Times New Roman" w:hAnsi="Times New Roman" w:eastAsiaTheme="minorEastAsia"/>
          <w:color w:val="000000"/>
          <w:sz w:val="24"/>
          <w:szCs w:val="30"/>
        </w:rPr>
        <w:t xml:space="preserve"> 法定代表人(签字)：</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Theme="minorEastAsia"/>
          <w:color w:val="000000"/>
          <w:sz w:val="24"/>
          <w:szCs w:val="30"/>
        </w:rPr>
      </w:pPr>
      <w:r>
        <w:rPr>
          <w:rFonts w:ascii="Times New Roman" w:hAnsi="Times New Roman" w:eastAsiaTheme="minorEastAsia"/>
          <w:color w:val="000000"/>
          <w:sz w:val="24"/>
          <w:szCs w:val="30"/>
        </w:rPr>
        <w:t>委托代理人(签字)：</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rPr>
        <w:t xml:space="preserve"> </w:t>
      </w:r>
      <w:r>
        <w:rPr>
          <w:rFonts w:hint="eastAsia" w:ascii="Times New Roman" w:hAnsi="Times New Roman" w:eastAsiaTheme="minorEastAsia"/>
          <w:color w:val="000000"/>
          <w:sz w:val="24"/>
          <w:szCs w:val="30"/>
          <w:lang w:val="en-US" w:eastAsia="zh-CN"/>
        </w:rPr>
        <w:t xml:space="preserve">    </w:t>
      </w:r>
      <w:r>
        <w:rPr>
          <w:rFonts w:ascii="Times New Roman" w:hAnsi="Times New Roman" w:eastAsiaTheme="minorEastAsia"/>
          <w:color w:val="000000"/>
          <w:sz w:val="24"/>
          <w:szCs w:val="30"/>
        </w:rPr>
        <w:t>委托代理人(签字)：</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Theme="minorEastAsia"/>
          <w:color w:val="000000"/>
          <w:sz w:val="24"/>
          <w:szCs w:val="30"/>
        </w:rPr>
      </w:pPr>
      <w:r>
        <w:rPr>
          <w:rFonts w:ascii="Times New Roman" w:hAnsi="Times New Roman" w:eastAsiaTheme="minorEastAsia"/>
          <w:color w:val="000000"/>
          <w:sz w:val="24"/>
          <w:szCs w:val="30"/>
        </w:rPr>
        <w:t>电  话：</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rPr>
        <w:t xml:space="preserve"> </w:t>
      </w:r>
      <w:r>
        <w:rPr>
          <w:rFonts w:hint="eastAsia" w:ascii="Times New Roman" w:hAnsi="Times New Roman" w:eastAsiaTheme="minorEastAsia"/>
          <w:color w:val="000000"/>
          <w:sz w:val="24"/>
          <w:szCs w:val="30"/>
          <w:lang w:val="en-US" w:eastAsia="zh-CN"/>
        </w:rPr>
        <w:t xml:space="preserve">      </w:t>
      </w:r>
      <w:r>
        <w:rPr>
          <w:rFonts w:ascii="Times New Roman" w:hAnsi="Times New Roman" w:eastAsiaTheme="minorEastAsia"/>
          <w:color w:val="000000"/>
          <w:sz w:val="24"/>
          <w:szCs w:val="30"/>
        </w:rPr>
        <w:t>电  话：</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Theme="minorEastAsia"/>
          <w:color w:val="000000"/>
          <w:sz w:val="24"/>
          <w:szCs w:val="30"/>
        </w:rPr>
      </w:pPr>
      <w:r>
        <w:rPr>
          <w:rFonts w:ascii="Times New Roman" w:hAnsi="Times New Roman" w:eastAsiaTheme="minorEastAsia"/>
          <w:color w:val="000000"/>
          <w:sz w:val="24"/>
          <w:szCs w:val="30"/>
        </w:rPr>
        <w:t>传  真：</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lang w:val="en-US" w:eastAsia="zh-CN"/>
        </w:rPr>
        <w:t xml:space="preserve">      </w:t>
      </w:r>
      <w:r>
        <w:rPr>
          <w:rFonts w:ascii="Times New Roman" w:hAnsi="Times New Roman" w:eastAsiaTheme="minorEastAsia"/>
          <w:color w:val="000000"/>
          <w:sz w:val="24"/>
          <w:szCs w:val="30"/>
        </w:rPr>
        <w:t xml:space="preserve"> 传  真：</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Theme="minorEastAsia"/>
          <w:color w:val="000000"/>
          <w:sz w:val="24"/>
          <w:szCs w:val="30"/>
        </w:rPr>
      </w:pPr>
      <w:r>
        <w:rPr>
          <w:rFonts w:ascii="Times New Roman" w:hAnsi="Times New Roman" w:eastAsiaTheme="minorEastAsia"/>
          <w:color w:val="000000"/>
          <w:sz w:val="24"/>
          <w:szCs w:val="30"/>
        </w:rPr>
        <w:t>开户银行：</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rPr>
        <w:t xml:space="preserve"> </w:t>
      </w:r>
      <w:r>
        <w:rPr>
          <w:rFonts w:hint="eastAsia" w:ascii="Times New Roman" w:hAnsi="Times New Roman" w:eastAsiaTheme="minorEastAsia"/>
          <w:color w:val="000000"/>
          <w:sz w:val="24"/>
          <w:szCs w:val="30"/>
          <w:lang w:val="en-US" w:eastAsia="zh-CN"/>
        </w:rPr>
        <w:t xml:space="preserve">      </w:t>
      </w:r>
      <w:r>
        <w:rPr>
          <w:rFonts w:ascii="Times New Roman" w:hAnsi="Times New Roman" w:eastAsiaTheme="minorEastAsia"/>
          <w:color w:val="000000"/>
          <w:sz w:val="24"/>
          <w:szCs w:val="30"/>
        </w:rPr>
        <w:t>开户银行：</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Theme="minorEastAsia"/>
          <w:color w:val="000000"/>
          <w:sz w:val="24"/>
          <w:szCs w:val="30"/>
        </w:rPr>
      </w:pPr>
      <w:r>
        <w:rPr>
          <w:rFonts w:ascii="Times New Roman" w:hAnsi="Times New Roman" w:eastAsiaTheme="minorEastAsia"/>
          <w:color w:val="000000"/>
          <w:sz w:val="24"/>
          <w:szCs w:val="30"/>
        </w:rPr>
        <w:t>账  号：</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rPr>
        <w:t xml:space="preserve"> </w:t>
      </w:r>
      <w:r>
        <w:rPr>
          <w:rFonts w:hint="eastAsia" w:ascii="Times New Roman" w:hAnsi="Times New Roman" w:eastAsiaTheme="minorEastAsia"/>
          <w:color w:val="000000"/>
          <w:sz w:val="24"/>
          <w:szCs w:val="30"/>
          <w:lang w:val="en-US" w:eastAsia="zh-CN"/>
        </w:rPr>
        <w:t xml:space="preserve">      </w:t>
      </w:r>
      <w:r>
        <w:rPr>
          <w:rFonts w:ascii="Times New Roman" w:hAnsi="Times New Roman" w:eastAsiaTheme="minorEastAsia"/>
          <w:color w:val="000000"/>
          <w:sz w:val="24"/>
          <w:szCs w:val="30"/>
        </w:rPr>
        <w:t>账</w:t>
      </w:r>
      <w:r>
        <w:rPr>
          <w:rFonts w:hint="eastAsia" w:ascii="Times New Roman" w:hAnsi="Times New Roman" w:eastAsiaTheme="minorEastAsia"/>
          <w:color w:val="000000"/>
          <w:sz w:val="24"/>
          <w:szCs w:val="30"/>
        </w:rPr>
        <w:t xml:space="preserve"> </w:t>
      </w:r>
      <w:r>
        <w:rPr>
          <w:rFonts w:ascii="Times New Roman" w:hAnsi="Times New Roman" w:eastAsiaTheme="minorEastAsia"/>
          <w:color w:val="000000"/>
          <w:sz w:val="24"/>
          <w:szCs w:val="30"/>
        </w:rPr>
        <w:t xml:space="preserve"> 号：</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eastAsiaTheme="minorEastAsia"/>
          <w:color w:val="000000"/>
          <w:sz w:val="24"/>
          <w:szCs w:val="30"/>
        </w:rPr>
      </w:pPr>
      <w:r>
        <w:rPr>
          <w:rFonts w:ascii="Times New Roman" w:hAnsi="Times New Roman" w:eastAsiaTheme="minorEastAsia"/>
          <w:color w:val="000000"/>
          <w:sz w:val="24"/>
          <w:szCs w:val="30"/>
        </w:rPr>
        <w:t>邮政编码：</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r>
        <w:rPr>
          <w:rFonts w:hint="eastAsia" w:ascii="Times New Roman" w:hAnsi="Times New Roman" w:eastAsiaTheme="minorEastAsia"/>
          <w:color w:val="000000"/>
          <w:sz w:val="24"/>
          <w:szCs w:val="30"/>
          <w:u w:val="single"/>
          <w:lang w:val="en-US" w:eastAsia="zh-CN"/>
        </w:rPr>
        <w:t xml:space="preserve">      </w:t>
      </w:r>
      <w:r>
        <w:rPr>
          <w:rFonts w:ascii="Times New Roman" w:hAnsi="Times New Roman" w:eastAsiaTheme="minorEastAsia"/>
          <w:color w:val="000000"/>
          <w:sz w:val="24"/>
          <w:szCs w:val="30"/>
        </w:rPr>
        <w:t xml:space="preserve"> 邮政编码：</w:t>
      </w:r>
      <w:r>
        <w:rPr>
          <w:rFonts w:hint="eastAsia" w:ascii="Times New Roman" w:hAnsi="Times New Roman" w:eastAsiaTheme="minorEastAsia"/>
          <w:color w:val="000000"/>
          <w:sz w:val="24"/>
          <w:szCs w:val="30"/>
          <w:u w:val="single"/>
        </w:rPr>
        <w:t xml:space="preserve">              </w:t>
      </w:r>
      <w:r>
        <w:rPr>
          <w:rFonts w:ascii="Times New Roman" w:hAnsi="Times New Roman" w:eastAsiaTheme="minorEastAsia"/>
          <w:color w:val="000000"/>
          <w:sz w:val="24"/>
          <w:szCs w:val="30"/>
          <w:u w:val="single"/>
        </w:rPr>
        <w:t xml:space="preserve">  </w:t>
      </w:r>
    </w:p>
    <w:p>
      <w:pPr>
        <w:pageBreakBefore w:val="0"/>
        <w:widowControl w:val="0"/>
        <w:kinsoku/>
        <w:wordWrap/>
        <w:overflowPunct/>
        <w:topLinePunct w:val="0"/>
        <w:bidi w:val="0"/>
        <w:spacing w:line="480" w:lineRule="exact"/>
        <w:ind w:firstLine="482" w:firstLineChars="200"/>
        <w:jc w:val="left"/>
        <w:outlineLvl w:val="1"/>
        <w:rPr>
          <w:rFonts w:hint="eastAsia" w:asciiTheme="minorEastAsia" w:hAnsiTheme="minorEastAsia" w:eastAsiaTheme="minorEastAsia" w:cstheme="minorEastAsia"/>
          <w:color w:val="000000"/>
          <w:sz w:val="24"/>
          <w:szCs w:val="24"/>
        </w:rPr>
      </w:pPr>
      <w:r>
        <w:rPr>
          <w:rFonts w:ascii="Times New Roman" w:hAnsi="Times New Roman" w:eastAsiaTheme="minorEastAsia"/>
          <w:b/>
          <w:color w:val="000000"/>
          <w:sz w:val="24"/>
          <w:szCs w:val="30"/>
        </w:rPr>
        <w:br w:type="page"/>
      </w:r>
      <w:bookmarkStart w:id="1086" w:name="_Toc7279"/>
      <w:r>
        <w:rPr>
          <w:rStyle w:val="48"/>
          <w:rFonts w:hint="eastAsia" w:asciiTheme="minorEastAsia" w:hAnsiTheme="minorEastAsia" w:eastAsiaTheme="minorEastAsia" w:cstheme="minorEastAsia"/>
          <w:sz w:val="24"/>
          <w:szCs w:val="24"/>
        </w:rPr>
        <w:t>附件</w:t>
      </w:r>
      <w:r>
        <w:rPr>
          <w:rStyle w:val="48"/>
          <w:rFonts w:hint="eastAsia" w:asciiTheme="minorEastAsia" w:hAnsiTheme="minorEastAsia" w:eastAsiaTheme="minorEastAsia" w:cstheme="minorEastAsia"/>
          <w:sz w:val="24"/>
          <w:szCs w:val="24"/>
          <w:lang w:val="en-US" w:eastAsia="zh-CN"/>
        </w:rPr>
        <w:t>5</w:t>
      </w:r>
      <w:r>
        <w:rPr>
          <w:rStyle w:val="48"/>
          <w:rFonts w:hint="eastAsia" w:asciiTheme="minorEastAsia" w:hAnsiTheme="minorEastAsia" w:eastAsiaTheme="minorEastAsia" w:cstheme="minorEastAsia"/>
          <w:sz w:val="24"/>
          <w:szCs w:val="24"/>
        </w:rPr>
        <w:t>：主要建设工程文件目录</w:t>
      </w:r>
      <w:bookmarkEnd w:id="1086"/>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文件名称</w:t>
            </w:r>
          </w:p>
        </w:tc>
        <w:tc>
          <w:tcPr>
            <w:tcW w:w="1276"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套数</w:t>
            </w:r>
          </w:p>
        </w:tc>
        <w:tc>
          <w:tcPr>
            <w:tcW w:w="145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费用（元）</w:t>
            </w:r>
          </w:p>
        </w:tc>
        <w:tc>
          <w:tcPr>
            <w:tcW w:w="1243"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质量</w:t>
            </w:r>
          </w:p>
        </w:tc>
        <w:tc>
          <w:tcPr>
            <w:tcW w:w="1450" w:type="dxa"/>
            <w:tcBorders>
              <w:top w:val="single" w:color="auto" w:sz="12" w:space="0"/>
              <w:bottom w:val="double" w:color="auto" w:sz="6" w:space="0"/>
            </w:tcBorders>
            <w:noWrap w:val="0"/>
            <w:vAlign w:val="top"/>
          </w:tcPr>
          <w:p>
            <w:pPr>
              <w:pageBreakBefore w:val="0"/>
              <w:widowControl w:val="0"/>
              <w:kinsoku/>
              <w:wordWrap/>
              <w:overflowPunct/>
              <w:topLinePunct w:val="0"/>
              <w:bidi w:val="0"/>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移交时间</w:t>
            </w:r>
          </w:p>
        </w:tc>
        <w:tc>
          <w:tcPr>
            <w:tcW w:w="1667" w:type="dxa"/>
            <w:tcBorders>
              <w:top w:val="single" w:color="auto" w:sz="12" w:space="0"/>
              <w:bottom w:val="double" w:color="auto" w:sz="6" w:space="0"/>
            </w:tcBorders>
            <w:noWrap w:val="0"/>
            <w:vAlign w:val="top"/>
          </w:tcPr>
          <w:p>
            <w:pPr>
              <w:pageBreakBefore w:val="0"/>
              <w:widowControl w:val="0"/>
              <w:kinsoku/>
              <w:wordWrap/>
              <w:overflowPunct/>
              <w:topLinePunct w:val="0"/>
              <w:bidi w:val="0"/>
              <w:spacing w:line="5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76"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243"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667"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76"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243"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667"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bl>
    <w:p>
      <w:pPr>
        <w:pageBreakBefore w:val="0"/>
        <w:widowControl w:val="0"/>
        <w:kinsoku/>
        <w:wordWrap/>
        <w:overflowPunct/>
        <w:topLinePunct w:val="0"/>
        <w:bidi w:val="0"/>
        <w:spacing w:line="560" w:lineRule="exact"/>
        <w:jc w:val="both"/>
        <w:rPr>
          <w:rFonts w:hint="eastAsia" w:ascii="Times New Roman" w:hAnsi="Times New Roman" w:eastAsia="仿宋_GB2312"/>
          <w:color w:val="000000"/>
          <w:sz w:val="30"/>
          <w:szCs w:val="30"/>
        </w:rPr>
      </w:pPr>
    </w:p>
    <w:p>
      <w:pPr>
        <w:pageBreakBefore w:val="0"/>
        <w:widowControl w:val="0"/>
        <w:kinsoku/>
        <w:wordWrap/>
        <w:overflowPunct/>
        <w:topLinePunct w:val="0"/>
        <w:bidi w:val="0"/>
        <w:spacing w:line="560" w:lineRule="exact"/>
        <w:jc w:val="center"/>
        <w:outlineLvl w:val="1"/>
        <w:rPr>
          <w:rFonts w:hint="eastAsia" w:asciiTheme="minorEastAsia" w:hAnsiTheme="minorEastAsia" w:eastAsiaTheme="minorEastAsia" w:cstheme="minorEastAsia"/>
          <w:color w:val="000000"/>
          <w:sz w:val="24"/>
          <w:szCs w:val="24"/>
        </w:rPr>
      </w:pPr>
      <w:r>
        <w:rPr>
          <w:rFonts w:ascii="Times New Roman" w:hAnsi="Times New Roman" w:eastAsia="仿宋_GB2312"/>
          <w:color w:val="000000"/>
          <w:sz w:val="30"/>
          <w:szCs w:val="30"/>
        </w:rPr>
        <w:br w:type="page"/>
      </w:r>
      <w:bookmarkStart w:id="1087" w:name="_Toc23989"/>
      <w:r>
        <w:rPr>
          <w:rStyle w:val="48"/>
          <w:rFonts w:hint="eastAsia" w:asciiTheme="minorEastAsia" w:hAnsiTheme="minorEastAsia" w:eastAsiaTheme="minorEastAsia" w:cstheme="minorEastAsia"/>
          <w:sz w:val="24"/>
          <w:szCs w:val="24"/>
        </w:rPr>
        <w:t>附</w:t>
      </w:r>
      <w:bookmarkStart w:id="1088" w:name="_Toc296503227"/>
      <w:bookmarkStart w:id="1089" w:name="_Toc296347226"/>
      <w:bookmarkStart w:id="1090" w:name="_Toc296891267"/>
      <w:bookmarkStart w:id="1091" w:name="_Toc267261698"/>
      <w:bookmarkStart w:id="1092" w:name="_Toc296891055"/>
      <w:bookmarkStart w:id="1093" w:name="_Toc296944566"/>
      <w:bookmarkStart w:id="1094" w:name="_Toc296346728"/>
      <w:r>
        <w:rPr>
          <w:rStyle w:val="48"/>
          <w:rFonts w:hint="eastAsia" w:asciiTheme="minorEastAsia" w:hAnsiTheme="minorEastAsia" w:eastAsiaTheme="minorEastAsia" w:cstheme="minorEastAsia"/>
          <w:sz w:val="24"/>
          <w:szCs w:val="24"/>
        </w:rPr>
        <w:t>件</w:t>
      </w:r>
      <w:r>
        <w:rPr>
          <w:rStyle w:val="48"/>
          <w:rFonts w:hint="eastAsia" w:asciiTheme="minorEastAsia" w:hAnsiTheme="minorEastAsia" w:eastAsiaTheme="minorEastAsia" w:cstheme="minorEastAsia"/>
          <w:sz w:val="24"/>
          <w:szCs w:val="24"/>
          <w:lang w:val="en-US" w:eastAsia="zh-CN"/>
        </w:rPr>
        <w:t>6</w:t>
      </w:r>
      <w:r>
        <w:rPr>
          <w:rStyle w:val="48"/>
          <w:rFonts w:hint="eastAsia" w:asciiTheme="minorEastAsia" w:hAnsiTheme="minorEastAsia" w:eastAsiaTheme="minorEastAsia" w:cstheme="minorEastAsia"/>
          <w:sz w:val="24"/>
          <w:szCs w:val="24"/>
        </w:rPr>
        <w:t>：</w:t>
      </w:r>
      <w:bookmarkEnd w:id="1088"/>
      <w:bookmarkEnd w:id="1089"/>
      <w:bookmarkEnd w:id="1090"/>
      <w:bookmarkEnd w:id="1091"/>
      <w:bookmarkEnd w:id="1092"/>
      <w:bookmarkEnd w:id="1093"/>
      <w:bookmarkEnd w:id="1094"/>
      <w:r>
        <w:rPr>
          <w:rStyle w:val="48"/>
          <w:rFonts w:hint="eastAsia" w:asciiTheme="minorEastAsia" w:hAnsiTheme="minorEastAsia" w:eastAsiaTheme="minorEastAsia" w:cstheme="minorEastAsia"/>
          <w:sz w:val="24"/>
          <w:szCs w:val="24"/>
        </w:rPr>
        <w:t>承包人用于本工程施工的机械设备表</w:t>
      </w:r>
      <w:bookmarkEnd w:id="1087"/>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序号</w:t>
            </w:r>
          </w:p>
        </w:tc>
        <w:tc>
          <w:tcPr>
            <w:tcW w:w="1418"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机械或设备名称</w:t>
            </w:r>
          </w:p>
        </w:tc>
        <w:tc>
          <w:tcPr>
            <w:tcW w:w="85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规格型号</w:t>
            </w:r>
          </w:p>
        </w:tc>
        <w:tc>
          <w:tcPr>
            <w:tcW w:w="1058"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数量</w:t>
            </w:r>
          </w:p>
        </w:tc>
        <w:tc>
          <w:tcPr>
            <w:tcW w:w="88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产地</w:t>
            </w:r>
          </w:p>
        </w:tc>
        <w:tc>
          <w:tcPr>
            <w:tcW w:w="102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制造年份</w:t>
            </w:r>
          </w:p>
        </w:tc>
        <w:tc>
          <w:tcPr>
            <w:tcW w:w="148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额定功率(kW)</w:t>
            </w:r>
          </w:p>
        </w:tc>
        <w:tc>
          <w:tcPr>
            <w:tcW w:w="1020"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生产能力</w:t>
            </w:r>
          </w:p>
        </w:tc>
        <w:tc>
          <w:tcPr>
            <w:tcW w:w="921"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tcBorders>
              <w:top w:val="doub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tcBorders>
              <w:top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5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5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8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48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1020"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c>
          <w:tcPr>
            <w:tcW w:w="921"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1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5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58"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8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48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1020"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c>
          <w:tcPr>
            <w:tcW w:w="921" w:type="dxa"/>
            <w:noWrap w:val="0"/>
            <w:vAlign w:val="top"/>
          </w:tcPr>
          <w:p>
            <w:pPr>
              <w:pageBreakBefore w:val="0"/>
              <w:widowControl w:val="0"/>
              <w:kinsoku/>
              <w:wordWrap/>
              <w:overflowPunct/>
              <w:topLinePunct w:val="0"/>
              <w:bidi w:val="0"/>
              <w:spacing w:line="560" w:lineRule="exact"/>
              <w:jc w:val="both"/>
              <w:rPr>
                <w:rFonts w:eastAsia="仿宋_GB2312"/>
                <w:color w:val="000000"/>
                <w:sz w:val="30"/>
                <w:szCs w:val="30"/>
              </w:rPr>
            </w:pPr>
          </w:p>
        </w:tc>
      </w:tr>
    </w:tbl>
    <w:p>
      <w:pPr>
        <w:bidi w:val="0"/>
        <w:jc w:val="both"/>
      </w:pPr>
    </w:p>
    <w:p>
      <w:pPr>
        <w:bidi w:val="0"/>
        <w:jc w:val="both"/>
      </w:pPr>
    </w:p>
    <w:p>
      <w:pPr>
        <w:pStyle w:val="4"/>
        <w:bidi w:val="0"/>
        <w:jc w:val="center"/>
        <w:rPr>
          <w:rFonts w:eastAsiaTheme="minorEastAsia"/>
        </w:rPr>
      </w:pPr>
      <w:bookmarkStart w:id="1095" w:name="_Toc25153"/>
      <w:r>
        <w:rPr>
          <w:rFonts w:eastAsiaTheme="minorEastAsia"/>
        </w:rPr>
        <w:t>附</w:t>
      </w:r>
      <w:bookmarkStart w:id="1096" w:name="_Toc296347227"/>
      <w:bookmarkStart w:id="1097" w:name="_Toc296891056"/>
      <w:bookmarkStart w:id="1098" w:name="_Toc296891268"/>
      <w:bookmarkStart w:id="1099" w:name="_Toc267261699"/>
      <w:bookmarkStart w:id="1100" w:name="_Toc296944567"/>
      <w:bookmarkStart w:id="1101" w:name="_Toc296503228"/>
      <w:bookmarkStart w:id="1102" w:name="_Toc296346729"/>
      <w:r>
        <w:rPr>
          <w:rFonts w:eastAsiaTheme="minorEastAsia"/>
        </w:rPr>
        <w:t>件</w:t>
      </w:r>
      <w:r>
        <w:rPr>
          <w:rFonts w:hint="eastAsia" w:eastAsiaTheme="minorEastAsia"/>
          <w:lang w:val="en-US" w:eastAsia="zh-CN"/>
        </w:rPr>
        <w:t>7</w:t>
      </w:r>
      <w:r>
        <w:rPr>
          <w:rFonts w:eastAsiaTheme="minorEastAsia"/>
        </w:rPr>
        <w:t>：</w:t>
      </w:r>
      <w:bookmarkEnd w:id="1096"/>
      <w:bookmarkEnd w:id="1097"/>
      <w:bookmarkEnd w:id="1098"/>
      <w:bookmarkEnd w:id="1099"/>
      <w:bookmarkEnd w:id="1100"/>
      <w:bookmarkEnd w:id="1101"/>
      <w:bookmarkEnd w:id="1102"/>
      <w:r>
        <w:rPr>
          <w:rFonts w:eastAsiaTheme="minorEastAsia"/>
        </w:rPr>
        <w:t>承包人主要施工管理人员表</w:t>
      </w:r>
      <w:bookmarkEnd w:id="1095"/>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名    称</w:t>
            </w:r>
          </w:p>
        </w:tc>
        <w:tc>
          <w:tcPr>
            <w:tcW w:w="1418"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姓名</w:t>
            </w:r>
          </w:p>
        </w:tc>
        <w:tc>
          <w:tcPr>
            <w:tcW w:w="1134"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职务</w:t>
            </w:r>
          </w:p>
        </w:tc>
        <w:tc>
          <w:tcPr>
            <w:tcW w:w="1134"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职称</w:t>
            </w:r>
          </w:p>
        </w:tc>
        <w:tc>
          <w:tcPr>
            <w:tcW w:w="4252"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项目主管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4"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项目经理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项目副经理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技术负责人</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造价管理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质量管理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材料管理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计划管理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安全管理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其他人员</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tcBorders>
              <w:bottom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bottom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bottom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bottom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871" w:type="dxa"/>
            <w:vMerge w:val="continue"/>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bl>
    <w:p>
      <w:pPr>
        <w:pageBreakBefore w:val="0"/>
        <w:widowControl w:val="0"/>
        <w:kinsoku/>
        <w:wordWrap/>
        <w:overflowPunct/>
        <w:topLinePunct w:val="0"/>
        <w:bidi w:val="0"/>
        <w:spacing w:line="560" w:lineRule="exact"/>
        <w:jc w:val="center"/>
        <w:outlineLvl w:val="1"/>
        <w:rPr>
          <w:rFonts w:ascii="Times New Roman" w:hAnsi="Times New Roman" w:eastAsiaTheme="minorEastAsia"/>
          <w:color w:val="000000"/>
          <w:sz w:val="24"/>
          <w:szCs w:val="30"/>
        </w:rPr>
      </w:pPr>
      <w:r>
        <w:rPr>
          <w:rFonts w:ascii="Times New Roman" w:hAnsi="Times New Roman" w:eastAsiaTheme="minorEastAsia"/>
          <w:color w:val="000000"/>
          <w:sz w:val="24"/>
          <w:szCs w:val="30"/>
        </w:rPr>
        <w:br w:type="page"/>
      </w:r>
      <w:bookmarkStart w:id="1103" w:name="_Toc4148"/>
      <w:r>
        <w:rPr>
          <w:rStyle w:val="48"/>
          <w:rFonts w:eastAsiaTheme="minorEastAsia"/>
          <w:sz w:val="24"/>
        </w:rPr>
        <w:t>附</w:t>
      </w:r>
      <w:bookmarkStart w:id="1104" w:name="_Toc296347228"/>
      <w:bookmarkStart w:id="1105" w:name="_Toc296891057"/>
      <w:bookmarkStart w:id="1106" w:name="_Toc296503229"/>
      <w:bookmarkStart w:id="1107" w:name="_Toc296346730"/>
      <w:bookmarkStart w:id="1108" w:name="_Toc296891269"/>
      <w:bookmarkStart w:id="1109" w:name="_Toc296944568"/>
      <w:r>
        <w:rPr>
          <w:rStyle w:val="48"/>
          <w:rFonts w:eastAsiaTheme="minorEastAsia"/>
          <w:sz w:val="24"/>
        </w:rPr>
        <w:t>件</w:t>
      </w:r>
      <w:r>
        <w:rPr>
          <w:rStyle w:val="48"/>
          <w:rFonts w:hint="eastAsia" w:eastAsiaTheme="minorEastAsia"/>
          <w:sz w:val="24"/>
          <w:lang w:val="en-US" w:eastAsia="zh-CN"/>
        </w:rPr>
        <w:t>8</w:t>
      </w:r>
      <w:r>
        <w:rPr>
          <w:rStyle w:val="48"/>
          <w:rFonts w:eastAsiaTheme="minorEastAsia"/>
          <w:sz w:val="24"/>
        </w:rPr>
        <w:t>：</w:t>
      </w:r>
      <w:bookmarkEnd w:id="1104"/>
      <w:bookmarkEnd w:id="1105"/>
      <w:bookmarkEnd w:id="1106"/>
      <w:bookmarkEnd w:id="1107"/>
      <w:bookmarkEnd w:id="1108"/>
      <w:bookmarkEnd w:id="1109"/>
      <w:r>
        <w:rPr>
          <w:rStyle w:val="48"/>
          <w:rFonts w:eastAsiaTheme="minorEastAsia"/>
          <w:sz w:val="24"/>
        </w:rPr>
        <w:t>分包人主要施工管理人员表</w:t>
      </w:r>
      <w:bookmarkEnd w:id="1103"/>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名    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职称</w:t>
            </w: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项目主管</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其他人员</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top w:val="single" w:color="auto" w:sz="4" w:space="0"/>
              <w:left w:val="single" w:color="auto" w:sz="4" w:space="0"/>
              <w:bottom w:val="single" w:color="auto" w:sz="4" w:space="0"/>
              <w:right w:val="single" w:color="auto" w:sz="4"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4"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项目经理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项目副经理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技术负责人</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造价管理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质量管理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材料管理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计划管理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安全管理</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其他人员</w:t>
            </w: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tcBorders>
              <w:bottom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bottom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bottom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bottom w:val="nil"/>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418" w:type="dxa"/>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134" w:type="dxa"/>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252" w:type="dxa"/>
            <w:tcBorders>
              <w:bottom w:val="single" w:color="auto" w:sz="12" w:space="0"/>
            </w:tcBorders>
            <w:noWrap w:val="0"/>
            <w:vAlign w:val="center"/>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bl>
    <w:p>
      <w:pPr>
        <w:pageBreakBefore w:val="0"/>
        <w:widowControl w:val="0"/>
        <w:kinsoku/>
        <w:wordWrap/>
        <w:overflowPunct/>
        <w:topLinePunct w:val="0"/>
        <w:bidi w:val="0"/>
        <w:spacing w:before="156" w:beforeLines="50" w:after="156" w:afterLines="50" w:line="560" w:lineRule="exact"/>
        <w:jc w:val="center"/>
        <w:rPr>
          <w:rFonts w:ascii="Times New Roman" w:hAnsi="Times New Roman" w:eastAsiaTheme="minorEastAsia"/>
          <w:color w:val="000000"/>
          <w:sz w:val="24"/>
          <w:szCs w:val="30"/>
        </w:rPr>
      </w:pPr>
      <w:r>
        <w:rPr>
          <w:rFonts w:ascii="Times New Roman" w:hAnsi="Times New Roman" w:eastAsiaTheme="minorEastAsia"/>
          <w:color w:val="000000"/>
          <w:sz w:val="24"/>
          <w:szCs w:val="30"/>
        </w:rPr>
        <w:br w:type="page"/>
      </w:r>
      <w:r>
        <w:rPr>
          <w:rFonts w:hint="eastAsia" w:ascii="Times New Roman" w:hAnsi="Times New Roman" w:eastAsiaTheme="minorEastAsia"/>
          <w:color w:val="000000"/>
          <w:sz w:val="24"/>
          <w:szCs w:val="30"/>
          <w:lang w:val="en-US" w:eastAsia="zh-CN"/>
        </w:rPr>
        <w:t>9</w:t>
      </w:r>
      <w:r>
        <w:rPr>
          <w:rFonts w:ascii="Times New Roman" w:hAnsi="Times New Roman" w:eastAsiaTheme="minorEastAsia"/>
          <w:color w:val="000000"/>
          <w:sz w:val="24"/>
          <w:szCs w:val="30"/>
        </w:rPr>
        <w:t>：专业工程暂估价表</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序号</w:t>
            </w:r>
          </w:p>
        </w:tc>
        <w:tc>
          <w:tcPr>
            <w:tcW w:w="1984"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专业工程名称</w:t>
            </w:r>
          </w:p>
        </w:tc>
        <w:tc>
          <w:tcPr>
            <w:tcW w:w="4678"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工程内容</w:t>
            </w:r>
          </w:p>
        </w:tc>
        <w:tc>
          <w:tcPr>
            <w:tcW w:w="1276" w:type="dxa"/>
            <w:tcBorders>
              <w:top w:val="single" w:color="auto" w:sz="12" w:space="0"/>
              <w:bottom w:val="double" w:color="auto" w:sz="6" w:space="0"/>
            </w:tcBorders>
            <w:noWrap w:val="0"/>
            <w:vAlign w:val="center"/>
          </w:tcPr>
          <w:p>
            <w:pPr>
              <w:pStyle w:val="13"/>
              <w:keepNext/>
              <w:pageBreakBefore w:val="0"/>
              <w:widowControl w:val="0"/>
              <w:kinsoku/>
              <w:wordWrap/>
              <w:overflowPunct/>
              <w:topLinePunct w:val="0"/>
              <w:bidi w:val="0"/>
              <w:spacing w:after="0" w:line="560" w:lineRule="exact"/>
              <w:ind w:left="63" w:right="63"/>
              <w:jc w:val="center"/>
              <w:rPr>
                <w:rFonts w:eastAsiaTheme="minorEastAsia"/>
                <w:color w:val="000000"/>
                <w:kern w:val="2"/>
                <w:sz w:val="24"/>
                <w:szCs w:val="30"/>
              </w:rPr>
            </w:pPr>
            <w:r>
              <w:rPr>
                <w:rFonts w:eastAsiaTheme="minorEastAsia"/>
                <w:color w:val="000000"/>
                <w:kern w:val="2"/>
                <w:sz w:val="24"/>
                <w:szCs w:val="30"/>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hint="eastAsia" w:eastAsiaTheme="minorEastAsia"/>
                <w:color w:val="000000"/>
                <w:kern w:val="2"/>
                <w:sz w:val="24"/>
                <w:szCs w:val="30"/>
                <w:lang w:val="en-US" w:eastAsia="zh-CN"/>
              </w:rPr>
            </w:pPr>
            <w:r>
              <w:rPr>
                <w:rFonts w:hint="eastAsia" w:eastAsiaTheme="minorEastAsia"/>
                <w:color w:val="000000"/>
                <w:kern w:val="2"/>
                <w:sz w:val="24"/>
                <w:szCs w:val="30"/>
                <w:lang w:val="en-US" w:eastAsia="zh-CN"/>
              </w:rPr>
              <w:t>1</w:t>
            </w:r>
          </w:p>
        </w:tc>
        <w:tc>
          <w:tcPr>
            <w:tcW w:w="1984" w:type="dxa"/>
            <w:tcBorders>
              <w:top w:val="double" w:color="auto" w:sz="6" w:space="0"/>
              <w:bottom w:val="single" w:color="auto" w:sz="6" w:space="0"/>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hint="default" w:eastAsiaTheme="minorEastAsia"/>
                <w:color w:val="000000"/>
                <w:kern w:val="2"/>
                <w:sz w:val="24"/>
                <w:szCs w:val="30"/>
                <w:lang w:val="en-US" w:eastAsia="zh-CN"/>
              </w:rPr>
            </w:pPr>
            <w:r>
              <w:rPr>
                <w:rFonts w:hint="eastAsia" w:eastAsiaTheme="minorEastAsia"/>
                <w:color w:val="000000"/>
                <w:kern w:val="2"/>
                <w:sz w:val="24"/>
                <w:szCs w:val="30"/>
                <w:lang w:val="en-US" w:eastAsia="zh-CN"/>
              </w:rPr>
              <w:t>绿化恢复等</w:t>
            </w:r>
          </w:p>
        </w:tc>
        <w:tc>
          <w:tcPr>
            <w:tcW w:w="4678" w:type="dxa"/>
            <w:tcBorders>
              <w:top w:val="double" w:color="auto" w:sz="6" w:space="0"/>
              <w:bottom w:val="single" w:color="auto" w:sz="6" w:space="0"/>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hint="default" w:eastAsiaTheme="minorEastAsia"/>
                <w:color w:val="000000"/>
                <w:kern w:val="2"/>
                <w:sz w:val="24"/>
                <w:szCs w:val="30"/>
                <w:lang w:val="en-US" w:eastAsia="zh-CN"/>
              </w:rPr>
            </w:pPr>
            <w:r>
              <w:rPr>
                <w:rFonts w:hint="eastAsia" w:eastAsiaTheme="minorEastAsia"/>
                <w:color w:val="000000"/>
                <w:kern w:val="2"/>
                <w:sz w:val="24"/>
                <w:szCs w:val="30"/>
                <w:lang w:val="en-US" w:eastAsia="zh-CN"/>
              </w:rPr>
              <w:t>对绿化带进行恢复</w:t>
            </w:r>
          </w:p>
        </w:tc>
        <w:tc>
          <w:tcPr>
            <w:tcW w:w="1276" w:type="dxa"/>
            <w:tcBorders>
              <w:top w:val="double" w:color="auto" w:sz="6" w:space="0"/>
              <w:bottom w:val="single" w:color="auto" w:sz="6" w:space="0"/>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hint="default" w:eastAsiaTheme="minorEastAsia"/>
                <w:color w:val="000000"/>
                <w:kern w:val="2"/>
                <w:sz w:val="24"/>
                <w:szCs w:val="30"/>
                <w:lang w:val="en-US" w:eastAsia="zh-CN"/>
              </w:rPr>
            </w:pPr>
            <w:r>
              <w:rPr>
                <w:rFonts w:hint="eastAsia" w:eastAsiaTheme="minorEastAsia"/>
                <w:color w:val="000000"/>
                <w:kern w:val="2"/>
                <w:sz w:val="24"/>
                <w:szCs w:val="30"/>
                <w:lang w:val="en-US" w:eastAsia="zh-CN"/>
              </w:rPr>
              <w:t>25000元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tcBorders>
              <w:top w:val="nil"/>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tcBorders>
              <w:top w:val="nil"/>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tcBorders>
              <w:top w:val="nil"/>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tcBorders>
              <w:top w:val="nil"/>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tcBorders>
              <w:top w:val="nil"/>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tcBorders>
              <w:top w:val="nil"/>
            </w:tcBorders>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984"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4678"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c>
          <w:tcPr>
            <w:tcW w:w="1276" w:type="dxa"/>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13"/>
              <w:keepNext/>
              <w:pageBreakBefore w:val="0"/>
              <w:widowControl w:val="0"/>
              <w:kinsoku/>
              <w:wordWrap/>
              <w:overflowPunct/>
              <w:topLinePunct w:val="0"/>
              <w:bidi w:val="0"/>
              <w:spacing w:after="0" w:line="560" w:lineRule="exact"/>
              <w:ind w:left="63" w:right="63"/>
              <w:jc w:val="both"/>
              <w:rPr>
                <w:rFonts w:eastAsiaTheme="minorEastAsia"/>
                <w:color w:val="000000"/>
                <w:kern w:val="2"/>
                <w:sz w:val="24"/>
                <w:szCs w:val="30"/>
              </w:rPr>
            </w:pPr>
            <w:r>
              <w:rPr>
                <w:rFonts w:eastAsiaTheme="minorEastAsia"/>
                <w:color w:val="000000"/>
                <w:kern w:val="2"/>
                <w:sz w:val="24"/>
                <w:szCs w:val="30"/>
              </w:rPr>
              <w:t>小计：</w:t>
            </w:r>
          </w:p>
        </w:tc>
      </w:tr>
    </w:tbl>
    <w:p>
      <w:pPr>
        <w:pageBreakBefore w:val="0"/>
        <w:widowControl w:val="0"/>
        <w:kinsoku/>
        <w:wordWrap/>
        <w:overflowPunct/>
        <w:topLinePunct w:val="0"/>
        <w:bidi w:val="0"/>
        <w:spacing w:line="560" w:lineRule="exact"/>
        <w:rPr>
          <w:rFonts w:ascii="Times New Roman" w:hAnsi="Times New Roman" w:eastAsiaTheme="minorEastAsia"/>
        </w:rPr>
      </w:pPr>
    </w:p>
    <w:bookmarkEnd w:id="43"/>
    <w:p>
      <w:pPr>
        <w:pStyle w:val="3"/>
        <w:spacing w:before="120" w:beforeLines="50" w:after="120" w:afterLines="50" w:line="360" w:lineRule="auto"/>
        <w:jc w:val="center"/>
        <w:rPr>
          <w:rFonts w:hint="eastAsia" w:asciiTheme="minorEastAsia" w:hAnsiTheme="minorEastAsia" w:eastAsiaTheme="minorEastAsia"/>
          <w:b/>
          <w:color w:val="000000" w:themeColor="text1"/>
          <w:sz w:val="32"/>
          <w:szCs w:val="32"/>
          <w14:textFill>
            <w14:solidFill>
              <w14:schemeClr w14:val="tx1"/>
            </w14:solidFill>
          </w14:textFill>
        </w:rPr>
      </w:pPr>
      <w:bookmarkStart w:id="1110" w:name="_Toc188638805"/>
    </w:p>
    <w:p>
      <w:pPr>
        <w:pStyle w:val="3"/>
        <w:spacing w:before="120" w:beforeLines="50" w:after="120" w:afterLines="50"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第五章  技术标准及要求</w:t>
      </w:r>
      <w:bookmarkEnd w:id="1110"/>
      <w:bookmarkStart w:id="1111" w:name="_Toc309819596"/>
      <w:bookmarkStart w:id="1112" w:name="_Toc464207509"/>
      <w:bookmarkStart w:id="1113" w:name="_Toc28594"/>
      <w:bookmarkStart w:id="1114" w:name="_Toc313397181"/>
      <w:bookmarkStart w:id="1115" w:name="_Toc462694797"/>
      <w:bookmarkStart w:id="1116" w:name="_Toc22417"/>
      <w:bookmarkStart w:id="1117" w:name="_Toc312962647"/>
    </w:p>
    <w:bookmarkEnd w:id="1111"/>
    <w:bookmarkEnd w:id="1112"/>
    <w:bookmarkEnd w:id="1113"/>
    <w:bookmarkEnd w:id="1114"/>
    <w:bookmarkEnd w:id="1115"/>
    <w:bookmarkEnd w:id="1116"/>
    <w:bookmarkEnd w:id="1117"/>
    <w:p>
      <w:pPr>
        <w:widowControl/>
        <w:spacing w:line="480" w:lineRule="exact"/>
        <w:ind w:firstLine="0" w:firstLineChars="0"/>
        <w:jc w:val="left"/>
        <w:rPr>
          <w:rFonts w:hint="eastAsia" w:ascii="宋体" w:hAnsi="宋体" w:cs="宋体" w:eastAsiaTheme="minorEastAsia"/>
          <w:b/>
          <w:bCs/>
          <w:color w:val="000000"/>
          <w:kern w:val="0"/>
          <w:sz w:val="24"/>
          <w:szCs w:val="24"/>
          <w:lang w:bidi="ar"/>
        </w:rPr>
      </w:pPr>
      <w:bookmarkStart w:id="1118" w:name="_Toc188638806"/>
      <w:bookmarkStart w:id="1119" w:name="_Hlk481497274"/>
      <w:r>
        <w:rPr>
          <w:rFonts w:hint="eastAsia" w:ascii="宋体" w:hAnsi="宋体" w:cs="宋体" w:eastAsiaTheme="minorEastAsia"/>
          <w:b/>
          <w:bCs/>
          <w:color w:val="000000"/>
          <w:kern w:val="0"/>
          <w:sz w:val="24"/>
          <w:szCs w:val="24"/>
          <w:lang w:bidi="ar"/>
        </w:rPr>
        <w:t>一、项目概况：</w:t>
      </w:r>
    </w:p>
    <w:p>
      <w:pPr>
        <w:tabs>
          <w:tab w:val="left" w:pos="2580"/>
        </w:tabs>
        <w:autoSpaceDE w:val="0"/>
        <w:autoSpaceDN w:val="0"/>
        <w:adjustRightInd w:val="0"/>
        <w:spacing w:line="480" w:lineRule="exact"/>
        <w:ind w:firstLine="480" w:firstLineChars="200"/>
        <w:rPr>
          <w:rFonts w:hint="eastAsia" w:ascii="宋体" w:hAnsi="宋体" w:cs="宋体" w:eastAsiaTheme="minorEastAsia"/>
          <w:sz w:val="24"/>
          <w:szCs w:val="32"/>
          <w:lang w:bidi="ar"/>
        </w:rPr>
      </w:pPr>
      <w:r>
        <w:rPr>
          <w:rFonts w:hint="eastAsia" w:ascii="宋体" w:hAnsi="宋体" w:cs="宋体" w:eastAsiaTheme="minorEastAsia"/>
          <w:sz w:val="24"/>
          <w:szCs w:val="32"/>
          <w:lang w:bidi="ar"/>
        </w:rPr>
        <w:t>本项目为寿光</w:t>
      </w:r>
      <w:r>
        <w:rPr>
          <w:rFonts w:hint="eastAsia" w:ascii="宋体" w:hAnsi="宋体" w:cs="宋体" w:eastAsiaTheme="minorEastAsia"/>
          <w:sz w:val="24"/>
          <w:szCs w:val="32"/>
          <w:lang w:val="en-US" w:eastAsia="zh-CN" w:bidi="ar"/>
        </w:rPr>
        <w:t>羊口镇河北湿地供水支线</w:t>
      </w:r>
      <w:r>
        <w:rPr>
          <w:rFonts w:hint="eastAsia" w:ascii="宋体" w:hAnsi="宋体" w:cs="宋体" w:eastAsiaTheme="minorEastAsia"/>
          <w:sz w:val="24"/>
          <w:szCs w:val="32"/>
          <w:lang w:bidi="ar"/>
        </w:rPr>
        <w:t>工程，主要包括挖沟槽土方、回填方</w:t>
      </w:r>
    </w:p>
    <w:p>
      <w:pPr>
        <w:tabs>
          <w:tab w:val="left" w:pos="2580"/>
        </w:tabs>
        <w:autoSpaceDE w:val="0"/>
        <w:autoSpaceDN w:val="0"/>
        <w:adjustRightInd w:val="0"/>
        <w:spacing w:line="480" w:lineRule="exact"/>
        <w:ind w:firstLine="0" w:firstLineChars="0"/>
        <w:rPr>
          <w:rFonts w:hint="eastAsia" w:ascii="宋体" w:hAnsi="宋体" w:eastAsiaTheme="minorEastAsia"/>
          <w:sz w:val="24"/>
        </w:rPr>
      </w:pPr>
      <w:r>
        <w:rPr>
          <w:rFonts w:hint="eastAsia" w:ascii="宋体" w:hAnsi="宋体" w:cs="宋体" w:eastAsiaTheme="minorEastAsia"/>
          <w:sz w:val="24"/>
          <w:lang w:bidi="ar"/>
        </w:rPr>
        <w:t>余方弃置、</w:t>
      </w:r>
      <w:r>
        <w:rPr>
          <w:rFonts w:hint="eastAsia" w:ascii="宋体" w:hAnsi="宋体" w:cs="宋体" w:eastAsiaTheme="minorEastAsia"/>
          <w:sz w:val="24"/>
          <w:lang w:val="en-US" w:eastAsia="zh-CN" w:bidi="ar"/>
        </w:rPr>
        <w:t>管道</w:t>
      </w:r>
      <w:r>
        <w:rPr>
          <w:rFonts w:hint="eastAsia" w:ascii="宋体" w:hAnsi="宋体" w:cs="宋体" w:eastAsiaTheme="minorEastAsia"/>
          <w:sz w:val="24"/>
          <w:lang w:bidi="ar"/>
        </w:rPr>
        <w:t>安装等，</w:t>
      </w:r>
      <w:r>
        <w:rPr>
          <w:rFonts w:hint="eastAsia" w:ascii="宋体" w:hAnsi="宋体" w:eastAsiaTheme="minorEastAsia"/>
          <w:sz w:val="24"/>
        </w:rPr>
        <w:t>详见图纸及清单。</w:t>
      </w:r>
    </w:p>
    <w:p>
      <w:pPr>
        <w:widowControl/>
        <w:numPr>
          <w:ilvl w:val="-1"/>
          <w:numId w:val="0"/>
        </w:numPr>
        <w:spacing w:line="480" w:lineRule="exact"/>
        <w:ind w:left="0" w:leftChars="0" w:firstLine="0" w:firstLineChars="0"/>
        <w:jc w:val="left"/>
        <w:rPr>
          <w:rFonts w:hint="eastAsia" w:ascii="宋体" w:hAnsi="宋体" w:cs="宋体" w:eastAsiaTheme="minorEastAsia"/>
          <w:b/>
          <w:bCs/>
          <w:color w:val="000000"/>
          <w:kern w:val="0"/>
          <w:sz w:val="24"/>
          <w:szCs w:val="24"/>
          <w:lang w:val="en-US" w:eastAsia="zh-CN" w:bidi="ar"/>
        </w:rPr>
      </w:pPr>
      <w:r>
        <w:rPr>
          <w:rFonts w:hint="eastAsia" w:cs="宋体" w:eastAsiaTheme="minorEastAsia"/>
          <w:b/>
          <w:bCs/>
          <w:color w:val="000000"/>
          <w:kern w:val="0"/>
          <w:sz w:val="24"/>
          <w:szCs w:val="24"/>
          <w:lang w:val="en-US" w:eastAsia="zh-CN" w:bidi="ar"/>
        </w:rPr>
        <w:t>二、</w:t>
      </w:r>
      <w:r>
        <w:rPr>
          <w:rFonts w:hint="eastAsia" w:ascii="宋体" w:hAnsi="宋体" w:cs="宋体" w:eastAsiaTheme="minorEastAsia"/>
          <w:b/>
          <w:bCs/>
          <w:color w:val="000000"/>
          <w:kern w:val="0"/>
          <w:sz w:val="24"/>
          <w:szCs w:val="24"/>
          <w:lang w:val="en-US" w:eastAsia="zh-CN" w:bidi="ar"/>
        </w:rPr>
        <w:t>情况说明</w:t>
      </w:r>
    </w:p>
    <w:p>
      <w:pPr>
        <w:widowControl/>
        <w:numPr>
          <w:ilvl w:val="0"/>
          <w:numId w:val="0"/>
        </w:numPr>
        <w:spacing w:line="480" w:lineRule="exact"/>
        <w:ind w:firstLine="0" w:firstLineChars="0"/>
        <w:jc w:val="left"/>
        <w:rPr>
          <w:rFonts w:hint="eastAsia" w:ascii="宋体" w:hAnsi="宋体" w:cs="宋体" w:eastAsiaTheme="minorEastAsia"/>
          <w:color w:val="000000"/>
          <w:kern w:val="0"/>
          <w:sz w:val="24"/>
          <w:szCs w:val="24"/>
          <w:lang w:val="en-US" w:eastAsia="zh-CN" w:bidi="ar"/>
        </w:rPr>
      </w:pPr>
      <w:r>
        <w:rPr>
          <w:rFonts w:hint="eastAsia" w:ascii="宋体" w:hAnsi="宋体" w:cs="宋体" w:eastAsiaTheme="minorEastAsia"/>
          <w:color w:val="000000"/>
          <w:kern w:val="0"/>
          <w:sz w:val="24"/>
          <w:szCs w:val="24"/>
          <w:lang w:val="en-US" w:eastAsia="zh-CN" w:bidi="ar"/>
        </w:rPr>
        <w:t>1、本项目清单中的开挖和余土弃置的土方运距，各供应商报价中应综合考虑；</w:t>
      </w:r>
    </w:p>
    <w:p>
      <w:pPr>
        <w:widowControl/>
        <w:numPr>
          <w:ilvl w:val="0"/>
          <w:numId w:val="0"/>
        </w:numPr>
        <w:spacing w:line="480" w:lineRule="exact"/>
        <w:ind w:left="0" w:leftChars="0" w:firstLine="0" w:firstLineChars="0"/>
        <w:jc w:val="left"/>
        <w:rPr>
          <w:rFonts w:hint="eastAsia" w:ascii="宋体" w:hAnsi="宋体" w:cs="宋体" w:eastAsiaTheme="minorEastAsia"/>
          <w:color w:val="000000"/>
          <w:kern w:val="0"/>
          <w:sz w:val="24"/>
          <w:szCs w:val="24"/>
          <w:lang w:val="en-US" w:eastAsia="zh-CN" w:bidi="ar"/>
        </w:rPr>
      </w:pPr>
      <w:r>
        <w:rPr>
          <w:rFonts w:hint="eastAsia" w:ascii="宋体" w:hAnsi="宋体" w:cs="宋体" w:eastAsiaTheme="minorEastAsia"/>
          <w:color w:val="000000"/>
          <w:kern w:val="0"/>
          <w:sz w:val="24"/>
          <w:szCs w:val="24"/>
          <w:lang w:val="en-US" w:eastAsia="zh-CN" w:bidi="ar"/>
        </w:rPr>
        <w:t>4、本项目清单中管道安装工作包含打压试验。</w:t>
      </w:r>
    </w:p>
    <w:p>
      <w:pPr>
        <w:widowControl/>
        <w:numPr>
          <w:ilvl w:val="0"/>
          <w:numId w:val="0"/>
        </w:numPr>
        <w:spacing w:line="480" w:lineRule="exact"/>
        <w:ind w:left="0" w:leftChars="0" w:firstLine="0" w:firstLineChars="0"/>
        <w:jc w:val="left"/>
        <w:rPr>
          <w:rFonts w:hint="eastAsia" w:ascii="宋体" w:hAnsi="宋体" w:cs="宋体" w:eastAsiaTheme="minorEastAsia"/>
          <w:color w:val="000000"/>
          <w:kern w:val="0"/>
          <w:sz w:val="24"/>
          <w:szCs w:val="24"/>
          <w:lang w:val="en-US" w:eastAsia="zh-CN" w:bidi="ar"/>
        </w:rPr>
      </w:pPr>
      <w:r>
        <w:rPr>
          <w:rFonts w:hint="eastAsia" w:ascii="宋体" w:hAnsi="宋体" w:cs="宋体" w:eastAsiaTheme="minorEastAsia"/>
          <w:color w:val="000000"/>
          <w:kern w:val="0"/>
          <w:sz w:val="24"/>
          <w:szCs w:val="24"/>
          <w:lang w:val="en-US" w:eastAsia="zh-CN" w:bidi="ar"/>
        </w:rPr>
        <w:t>5、各供应商报价应综合考虑含施工完成后的施工恢复内容。</w:t>
      </w:r>
    </w:p>
    <w:p>
      <w:pPr>
        <w:widowControl/>
        <w:spacing w:line="480" w:lineRule="exact"/>
        <w:ind w:firstLine="0" w:firstLineChars="0"/>
        <w:jc w:val="left"/>
        <w:rPr>
          <w:rFonts w:hint="eastAsia" w:ascii="宋体" w:hAnsi="宋体" w:cs="宋体" w:eastAsiaTheme="minorEastAsia"/>
          <w:b/>
          <w:bCs/>
          <w:color w:val="000000"/>
          <w:kern w:val="0"/>
          <w:sz w:val="24"/>
          <w:szCs w:val="24"/>
          <w:lang w:bidi="ar"/>
        </w:rPr>
      </w:pPr>
      <w:r>
        <w:rPr>
          <w:rFonts w:hint="eastAsia" w:ascii="宋体" w:hAnsi="宋体" w:cs="宋体" w:eastAsiaTheme="minorEastAsia"/>
          <w:b/>
          <w:bCs/>
          <w:color w:val="000000"/>
          <w:kern w:val="0"/>
          <w:sz w:val="24"/>
          <w:szCs w:val="24"/>
          <w:lang w:val="en-US" w:eastAsia="zh-CN" w:bidi="ar"/>
        </w:rPr>
        <w:t>三</w:t>
      </w:r>
      <w:r>
        <w:rPr>
          <w:rFonts w:hint="eastAsia" w:ascii="宋体" w:hAnsi="宋体" w:cs="宋体" w:eastAsiaTheme="minorEastAsia"/>
          <w:b/>
          <w:bCs/>
          <w:color w:val="000000"/>
          <w:kern w:val="0"/>
          <w:sz w:val="24"/>
          <w:szCs w:val="24"/>
          <w:lang w:bidi="ar"/>
        </w:rPr>
        <w:t>、技术标准及施工要求</w:t>
      </w:r>
    </w:p>
    <w:p>
      <w:pPr>
        <w:spacing w:line="480" w:lineRule="exact"/>
        <w:ind w:firstLine="480" w:firstLineChars="200"/>
        <w:rPr>
          <w:rFonts w:hint="eastAsia" w:ascii="宋体" w:hAnsi="宋体" w:eastAsiaTheme="minorEastAsia"/>
          <w:sz w:val="24"/>
        </w:rPr>
      </w:pPr>
      <w:r>
        <w:rPr>
          <w:rFonts w:hint="eastAsia" w:ascii="宋体" w:hAnsi="宋体" w:cs="宋体" w:eastAsiaTheme="minorEastAsia"/>
          <w:color w:val="000000"/>
          <w:sz w:val="24"/>
          <w:lang w:val="zh-CN"/>
        </w:rPr>
        <w:t>1、投标单位须严格按照国家现行标准、规范及设计要求进行施工，必须达到提供的施工图的标准要求</w:t>
      </w:r>
      <w:r>
        <w:rPr>
          <w:rFonts w:hint="eastAsia" w:ascii="宋体" w:hAnsi="宋体" w:eastAsiaTheme="minorEastAsia"/>
          <w:sz w:val="24"/>
        </w:rPr>
        <w:t>，</w:t>
      </w:r>
      <w:r>
        <w:rPr>
          <w:rFonts w:hint="eastAsia" w:ascii="宋体" w:hAnsi="宋体" w:cs="宋体" w:eastAsiaTheme="minorEastAsia"/>
          <w:color w:val="000000"/>
          <w:sz w:val="24"/>
          <w:lang w:val="zh-CN"/>
        </w:rPr>
        <w:t>并能够附带相关的有效资料文件。</w:t>
      </w:r>
    </w:p>
    <w:p>
      <w:pPr>
        <w:spacing w:line="480" w:lineRule="exact"/>
        <w:ind w:firstLine="480" w:firstLineChars="200"/>
        <w:rPr>
          <w:rFonts w:hint="eastAsia" w:ascii="宋体" w:hAnsi="宋体" w:eastAsiaTheme="minorEastAsia"/>
          <w:sz w:val="24"/>
        </w:rPr>
      </w:pPr>
      <w:r>
        <w:rPr>
          <w:rFonts w:hint="eastAsia" w:ascii="宋体" w:hAnsi="宋体" w:cs="宋体" w:eastAsiaTheme="minorEastAsia"/>
          <w:color w:val="000000"/>
          <w:sz w:val="24"/>
          <w:lang w:val="zh-CN"/>
        </w:rPr>
        <w:t>2、施工期间承包方应服从发包方相关部门管理，并按国家有关规程规范严格施工，如发生人员伤害和财产损失等安全事故均由承包方承担经济和法律责任。</w:t>
      </w:r>
    </w:p>
    <w:p>
      <w:pPr>
        <w:spacing w:line="480" w:lineRule="exact"/>
        <w:ind w:firstLine="480" w:firstLineChars="200"/>
        <w:rPr>
          <w:rFonts w:hint="eastAsia" w:ascii="宋体" w:hAnsi="宋体" w:cs="宋体" w:eastAsiaTheme="minorEastAsia"/>
          <w:color w:val="000000"/>
          <w:sz w:val="24"/>
          <w:lang w:val="zh-CN"/>
        </w:rPr>
      </w:pPr>
      <w:r>
        <w:rPr>
          <w:rFonts w:hint="eastAsia" w:ascii="宋体" w:hAnsi="宋体" w:cs="宋体" w:eastAsiaTheme="minorEastAsia"/>
          <w:color w:val="000000"/>
          <w:sz w:val="24"/>
          <w:lang w:val="zh-CN"/>
        </w:rPr>
        <w:t>3、中标人有义务对其他成品进行保护，严禁野蛮施工，如发现成品破坏，经业主确认，需按损坏单价的2倍赔偿，并按每次500元-5000元罚款。</w:t>
      </w:r>
    </w:p>
    <w:p>
      <w:pPr>
        <w:spacing w:line="480" w:lineRule="exact"/>
        <w:ind w:firstLine="480" w:firstLineChars="200"/>
        <w:rPr>
          <w:rFonts w:hint="eastAsia" w:ascii="宋体" w:hAnsi="宋体" w:cs="宋体" w:eastAsiaTheme="minorEastAsia"/>
          <w:color w:val="000000"/>
          <w:sz w:val="24"/>
          <w:lang w:val="zh-CN"/>
        </w:rPr>
      </w:pPr>
      <w:r>
        <w:rPr>
          <w:rFonts w:hint="eastAsia" w:ascii="宋体" w:hAnsi="宋体" w:cs="宋体" w:eastAsiaTheme="minorEastAsia"/>
          <w:color w:val="000000"/>
          <w:sz w:val="24"/>
          <w:lang w:val="zh-CN"/>
        </w:rPr>
        <w:t>4、中标企业在施工过程中，必须按照响应文件中规定的人员及机械及时配备完整，否则视为违约。甲方有权终止合同，并不返还履约保证金。</w:t>
      </w:r>
    </w:p>
    <w:p>
      <w:pPr>
        <w:spacing w:line="480" w:lineRule="exact"/>
        <w:ind w:firstLine="480" w:firstLineChars="200"/>
        <w:rPr>
          <w:rFonts w:hint="eastAsia" w:ascii="宋体" w:hAnsi="宋体" w:cs="宋体" w:eastAsiaTheme="minorEastAsia"/>
          <w:color w:val="000000"/>
          <w:sz w:val="24"/>
          <w:lang w:val="zh-CN"/>
        </w:rPr>
      </w:pPr>
      <w:r>
        <w:rPr>
          <w:rFonts w:hint="eastAsia" w:ascii="宋体" w:hAnsi="宋体" w:cs="宋体" w:eastAsiaTheme="minorEastAsia"/>
          <w:color w:val="000000"/>
          <w:sz w:val="24"/>
          <w:lang w:val="zh-CN"/>
        </w:rPr>
        <w:t>7、所采购的设备在进场前，应由发包人等进行确认，只有发包人现场认可的方可进场。</w:t>
      </w:r>
    </w:p>
    <w:p>
      <w:pPr>
        <w:spacing w:line="480" w:lineRule="exact"/>
        <w:ind w:firstLine="480" w:firstLineChars="200"/>
        <w:rPr>
          <w:rFonts w:hint="eastAsia" w:ascii="宋体" w:hAnsi="宋体" w:cs="宋体" w:eastAsiaTheme="minorEastAsia"/>
          <w:color w:val="000000"/>
          <w:sz w:val="24"/>
          <w:lang w:val="zh-CN"/>
        </w:rPr>
      </w:pPr>
      <w:r>
        <w:rPr>
          <w:rFonts w:hint="eastAsia" w:ascii="宋体" w:hAnsi="宋体" w:cs="宋体" w:eastAsiaTheme="minorEastAsia"/>
          <w:color w:val="000000"/>
          <w:sz w:val="24"/>
          <w:lang w:val="zh-CN"/>
        </w:rPr>
        <w:t>8、施工过程中的垃圾要及时外运，所缺回填土方由承包方负责，施工单位负责回填、找平、压实等，费用均综合在相应报价内。</w:t>
      </w:r>
    </w:p>
    <w:p>
      <w:pPr>
        <w:spacing w:line="480" w:lineRule="exact"/>
        <w:ind w:firstLine="480" w:firstLineChars="200"/>
        <w:rPr>
          <w:rFonts w:hint="eastAsia" w:ascii="宋体" w:hAnsi="宋体" w:eastAsiaTheme="minorEastAsia"/>
          <w:sz w:val="24"/>
        </w:rPr>
      </w:pPr>
      <w:r>
        <w:rPr>
          <w:rFonts w:hint="eastAsia" w:ascii="宋体" w:hAnsi="宋体" w:eastAsiaTheme="minorEastAsia"/>
          <w:sz w:val="24"/>
        </w:rPr>
        <w:t>9、对每道工序的施工，必须填写工序报验申请表，由指挥部监督人员验收合格签字后方可进行下道工序，未经验收一律不得进行下道工序施工，否则，按不合格工程处理，且进行返工。</w:t>
      </w:r>
    </w:p>
    <w:p>
      <w:pPr>
        <w:spacing w:line="480" w:lineRule="exact"/>
        <w:ind w:firstLine="480" w:firstLineChars="200"/>
        <w:rPr>
          <w:rFonts w:hint="eastAsia" w:ascii="宋体" w:hAnsi="宋体" w:eastAsiaTheme="minorEastAsia"/>
          <w:sz w:val="24"/>
        </w:rPr>
      </w:pPr>
      <w:r>
        <w:rPr>
          <w:rFonts w:hint="eastAsia" w:ascii="宋体" w:hAnsi="宋体" w:eastAsiaTheme="minorEastAsia"/>
          <w:sz w:val="24"/>
        </w:rPr>
        <w:t>10、建设单位可对施工企业随时检查，若发现不良行为或对工作不尽责行为，可根据合同酌情对其进行处罚。</w:t>
      </w:r>
    </w:p>
    <w:p>
      <w:pPr>
        <w:spacing w:line="480" w:lineRule="exact"/>
        <w:ind w:firstLine="480" w:firstLineChars="200"/>
        <w:rPr>
          <w:rFonts w:hint="eastAsia" w:ascii="宋体" w:hAnsi="宋体" w:eastAsiaTheme="minorEastAsia"/>
          <w:sz w:val="24"/>
        </w:rPr>
      </w:pPr>
      <w:r>
        <w:rPr>
          <w:rFonts w:hint="eastAsia" w:ascii="宋体" w:hAnsi="宋体" w:eastAsiaTheme="minorEastAsia"/>
          <w:sz w:val="24"/>
        </w:rPr>
        <w:t>11、工程施工过程中如需中断交通，中标人有义务配合交通管理部门和发包人组织施工现场的交通管理，做好有关交通警示。</w:t>
      </w:r>
    </w:p>
    <w:p>
      <w:pPr>
        <w:spacing w:line="480" w:lineRule="exact"/>
        <w:ind w:firstLine="0" w:firstLineChars="0"/>
        <w:rPr>
          <w:rFonts w:hint="eastAsia" w:eastAsiaTheme="minorEastAsia"/>
          <w:b/>
          <w:bCs/>
          <w:color w:val="000000"/>
          <w:lang w:bidi="ar"/>
        </w:rPr>
      </w:pPr>
      <w:bookmarkStart w:id="1120" w:name="_Toc18176"/>
      <w:bookmarkStart w:id="1121" w:name="_Toc16549"/>
      <w:r>
        <w:rPr>
          <w:rFonts w:hint="eastAsia" w:eastAsiaTheme="minorEastAsia"/>
          <w:b/>
          <w:bCs/>
          <w:color w:val="000000"/>
          <w:lang w:bidi="ar"/>
        </w:rPr>
        <w:t>四</w:t>
      </w:r>
      <w:r>
        <w:rPr>
          <w:rFonts w:hint="eastAsia" w:eastAsiaTheme="minorEastAsia"/>
          <w:b/>
          <w:bCs/>
          <w:color w:val="000000"/>
          <w:lang w:eastAsia="zh-CN" w:bidi="ar"/>
        </w:rPr>
        <w:t>、</w:t>
      </w:r>
      <w:r>
        <w:rPr>
          <w:rFonts w:hint="eastAsia" w:eastAsiaTheme="minorEastAsia"/>
          <w:b/>
          <w:bCs/>
          <w:color w:val="000000"/>
          <w:lang w:bidi="ar"/>
        </w:rPr>
        <w:t>工程量清单及图纸</w:t>
      </w:r>
      <w:bookmarkEnd w:id="1120"/>
      <w:bookmarkEnd w:id="1121"/>
    </w:p>
    <w:p>
      <w:pPr>
        <w:keepNext w:val="0"/>
        <w:keepLines w:val="0"/>
        <w:pageBreakBefore w:val="0"/>
        <w:widowControl w:val="0"/>
        <w:tabs>
          <w:tab w:val="left" w:pos="258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cs="宋体" w:eastAsiaTheme="minorEastAsia"/>
          <w:sz w:val="24"/>
          <w:szCs w:val="32"/>
          <w:lang w:bidi="ar"/>
        </w:rPr>
      </w:pPr>
      <w:r>
        <w:rPr>
          <w:rFonts w:hint="eastAsia" w:ascii="宋体" w:hAnsi="宋体" w:cs="宋体" w:eastAsiaTheme="minorEastAsia"/>
          <w:sz w:val="24"/>
          <w:szCs w:val="32"/>
          <w:lang w:bidi="ar"/>
        </w:rPr>
        <w:t>本项目为寿光</w:t>
      </w:r>
      <w:r>
        <w:rPr>
          <w:rFonts w:hint="eastAsia" w:ascii="宋体" w:hAnsi="宋体" w:cs="宋体" w:eastAsiaTheme="minorEastAsia"/>
          <w:sz w:val="24"/>
          <w:szCs w:val="32"/>
          <w:lang w:val="en-US" w:eastAsia="zh-CN" w:bidi="ar"/>
        </w:rPr>
        <w:t>羊口镇河北湿地供水支线</w:t>
      </w:r>
      <w:r>
        <w:rPr>
          <w:rFonts w:hint="eastAsia" w:ascii="宋体" w:hAnsi="宋体" w:cs="宋体" w:eastAsiaTheme="minorEastAsia"/>
          <w:sz w:val="24"/>
          <w:szCs w:val="32"/>
          <w:lang w:bidi="ar"/>
        </w:rPr>
        <w:t>工程，主要包括挖沟槽土方、回填方</w:t>
      </w:r>
    </w:p>
    <w:p>
      <w:pPr>
        <w:keepNext w:val="0"/>
        <w:keepLines w:val="0"/>
        <w:pageBreakBefore w:val="0"/>
        <w:widowControl w:val="0"/>
        <w:tabs>
          <w:tab w:val="left" w:pos="2580"/>
        </w:tabs>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Theme="minorEastAsia"/>
          <w:sz w:val="24"/>
        </w:rPr>
      </w:pPr>
      <w:r>
        <w:rPr>
          <w:rFonts w:hint="eastAsia" w:ascii="宋体" w:hAnsi="宋体" w:cs="宋体" w:eastAsiaTheme="minorEastAsia"/>
          <w:sz w:val="24"/>
          <w:lang w:bidi="ar"/>
        </w:rPr>
        <w:t>余方弃置、</w:t>
      </w:r>
      <w:r>
        <w:rPr>
          <w:rFonts w:hint="eastAsia" w:ascii="宋体" w:hAnsi="宋体" w:cs="宋体" w:eastAsiaTheme="minorEastAsia"/>
          <w:sz w:val="24"/>
          <w:lang w:val="en-US" w:eastAsia="zh-CN" w:bidi="ar"/>
        </w:rPr>
        <w:t>管道</w:t>
      </w:r>
      <w:r>
        <w:rPr>
          <w:rFonts w:hint="eastAsia" w:ascii="宋体" w:hAnsi="宋体" w:cs="宋体" w:eastAsiaTheme="minorEastAsia"/>
          <w:sz w:val="24"/>
          <w:lang w:bidi="ar"/>
        </w:rPr>
        <w:t>安装等，</w:t>
      </w:r>
      <w:r>
        <w:rPr>
          <w:rFonts w:hint="eastAsia" w:ascii="宋体" w:hAnsi="宋体" w:eastAsiaTheme="minorEastAsia"/>
          <w:sz w:val="24"/>
        </w:rPr>
        <w:t>详见图纸及清单。</w:t>
      </w:r>
    </w:p>
    <w:p>
      <w:pPr>
        <w:keepNext w:val="0"/>
        <w:keepLines w:val="0"/>
        <w:pageBreakBefore w:val="0"/>
        <w:widowControl/>
        <w:kinsoku/>
        <w:wordWrap/>
        <w:overflowPunct/>
        <w:topLinePunct w:val="0"/>
        <w:bidi w:val="0"/>
        <w:snapToGrid/>
        <w:spacing w:line="480" w:lineRule="exact"/>
        <w:ind w:firstLine="0" w:firstLineChars="0"/>
        <w:jc w:val="left"/>
        <w:textAlignment w:val="auto"/>
        <w:rPr>
          <w:rFonts w:hint="eastAsia" w:ascii="宋体" w:hAnsi="宋体" w:cs="宋体" w:eastAsiaTheme="minorEastAsia"/>
          <w:b/>
          <w:bCs/>
          <w:color w:val="000000"/>
          <w:sz w:val="24"/>
          <w:szCs w:val="24"/>
          <w:lang w:bidi="ar"/>
        </w:rPr>
      </w:pPr>
      <w:r>
        <w:rPr>
          <w:rFonts w:hint="eastAsia" w:cs="宋体" w:eastAsiaTheme="minorEastAsia"/>
          <w:b/>
          <w:bCs/>
          <w:color w:val="000000"/>
          <w:sz w:val="24"/>
          <w:szCs w:val="24"/>
          <w:lang w:val="en-US" w:eastAsia="zh-CN" w:bidi="ar"/>
        </w:rPr>
        <w:t>六</w:t>
      </w:r>
      <w:r>
        <w:rPr>
          <w:rFonts w:hint="eastAsia" w:ascii="宋体" w:hAnsi="宋体" w:cs="宋体" w:eastAsiaTheme="minorEastAsia"/>
          <w:b/>
          <w:bCs/>
          <w:color w:val="000000"/>
          <w:sz w:val="24"/>
          <w:szCs w:val="24"/>
          <w:lang w:bidi="ar"/>
        </w:rPr>
        <w:t>、工程量清单编制依据及报价说明</w:t>
      </w:r>
    </w:p>
    <w:p>
      <w:pPr>
        <w:keepNext w:val="0"/>
        <w:keepLines w:val="0"/>
        <w:pageBreakBefore w:val="0"/>
        <w:widowControl w:val="0"/>
        <w:tabs>
          <w:tab w:val="left" w:pos="1042"/>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lang w:bidi="ar"/>
        </w:rPr>
      </w:pPr>
      <w:r>
        <w:rPr>
          <w:rFonts w:hint="eastAsia" w:ascii="宋体" w:hAnsi="宋体" w:cs="宋体" w:eastAsiaTheme="minorEastAsia"/>
          <w:sz w:val="24"/>
          <w:lang w:bidi="ar"/>
        </w:rPr>
        <w:t>工程量清单仅是供应商投标报价的共同基础。除另有约定外，工程量清单中的工程量是根据招标设计图纸按《市政工程工程量清单计价规范》等计算规则计算的用于投标报价的估算工程量，不作为最终结算工程量。最终结算工程量是承包人实际完成并符合技术标准和要求（合同技术条款）规定，按竣工的有效工程量。</w:t>
      </w:r>
    </w:p>
    <w:p>
      <w:pPr>
        <w:keepNext w:val="0"/>
        <w:keepLines w:val="0"/>
        <w:pageBreakBefore w:val="0"/>
        <w:widowControl w:val="0"/>
        <w:tabs>
          <w:tab w:val="left" w:pos="1042"/>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lang w:val="en-US" w:eastAsia="zh-CN" w:bidi="ar"/>
        </w:rPr>
      </w:pPr>
      <w:r>
        <w:rPr>
          <w:rFonts w:hint="eastAsia" w:ascii="宋体" w:hAnsi="宋体" w:cs="宋体" w:eastAsiaTheme="minorEastAsia"/>
          <w:sz w:val="24"/>
          <w:lang w:val="en-US" w:eastAsia="zh-CN" w:bidi="ar"/>
        </w:rPr>
        <w:t>本项目规费、税金均按国家及省级建设行政部门营改增后的规定计算,不可竞争。</w:t>
      </w:r>
    </w:p>
    <w:p>
      <w:pPr>
        <w:keepNext w:val="0"/>
        <w:keepLines w:val="0"/>
        <w:pageBreakBefore w:val="0"/>
        <w:widowControl w:val="0"/>
        <w:tabs>
          <w:tab w:val="left" w:pos="1042"/>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lang w:bidi="ar"/>
        </w:rPr>
      </w:pPr>
      <w:r>
        <w:rPr>
          <w:rFonts w:hint="eastAsia" w:ascii="宋体" w:hAnsi="宋体" w:cs="宋体" w:eastAsiaTheme="minorEastAsia"/>
          <w:sz w:val="24"/>
          <w:lang w:bidi="ar"/>
        </w:rPr>
        <w:t>1、本工程量清单是采购人所提供的，为磋商文件的组成部分，一经中标且签订合同，即成为合同的组成部分。</w:t>
      </w:r>
    </w:p>
    <w:p>
      <w:pPr>
        <w:keepNext w:val="0"/>
        <w:keepLines w:val="0"/>
        <w:pageBreakBefore w:val="0"/>
        <w:widowControl w:val="0"/>
        <w:tabs>
          <w:tab w:val="left" w:pos="1042"/>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rPr>
      </w:pPr>
      <w:r>
        <w:rPr>
          <w:rFonts w:hint="eastAsia" w:ascii="宋体" w:hAnsi="宋体" w:cs="宋体" w:eastAsiaTheme="minorEastAsia"/>
          <w:sz w:val="24"/>
          <w:lang w:bidi="ar"/>
        </w:rPr>
        <w:t>2</w:t>
      </w:r>
      <w:r>
        <w:rPr>
          <w:rFonts w:hint="eastAsia" w:ascii="宋体" w:hAnsi="宋体" w:cs="宋体" w:eastAsiaTheme="minorEastAsia"/>
          <w:sz w:val="24"/>
          <w:lang w:val="zh-CN" w:bidi="ar"/>
        </w:rPr>
        <w:t>、本工程量清单仅作为投标报价的基础，承包人应注意如果最终的工程量与磋商文件清单中的工程量有所差别时，工期及综合单价也不会因此而调整。</w:t>
      </w:r>
    </w:p>
    <w:p>
      <w:pPr>
        <w:keepNext w:val="0"/>
        <w:keepLines w:val="0"/>
        <w:pageBreakBefore w:val="0"/>
        <w:widowControl w:val="0"/>
        <w:kinsoku/>
        <w:wordWrap/>
        <w:overflowPunct/>
        <w:topLinePunct w:val="0"/>
        <w:autoSpaceDE w:val="0"/>
        <w:autoSpaceDN w:val="0"/>
        <w:bidi w:val="0"/>
        <w:adjustRightInd w:val="0"/>
        <w:snapToGrid/>
        <w:spacing w:line="480" w:lineRule="exact"/>
        <w:ind w:right="54" w:firstLine="480" w:firstLineChars="200"/>
        <w:textAlignment w:val="auto"/>
        <w:rPr>
          <w:rFonts w:hint="eastAsia" w:ascii="宋体" w:hAnsi="宋体" w:cs="宋体" w:eastAsiaTheme="minorEastAsia"/>
          <w:sz w:val="24"/>
        </w:rPr>
      </w:pPr>
      <w:r>
        <w:rPr>
          <w:rFonts w:hint="eastAsia" w:ascii="宋体" w:hAnsi="宋体" w:cs="宋体" w:eastAsiaTheme="minorEastAsia"/>
          <w:sz w:val="24"/>
          <w:lang w:bidi="ar"/>
        </w:rPr>
        <w:t>3</w:t>
      </w:r>
      <w:r>
        <w:rPr>
          <w:rFonts w:hint="eastAsia" w:ascii="宋体" w:hAnsi="宋体" w:cs="宋体" w:eastAsiaTheme="minorEastAsia"/>
          <w:sz w:val="24"/>
          <w:lang w:val="zh-CN" w:bidi="ar"/>
        </w:rPr>
        <w:t>、除另有说明外，工程量清单内所有项目所述材料等均由承包人自行采购及施工，工程量清单所述永久工程必须使用新材料、新设备和节能环保产品。</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4</w:t>
      </w:r>
      <w:r>
        <w:rPr>
          <w:rFonts w:hint="eastAsia" w:ascii="宋体" w:hAnsi="宋体" w:cs="宋体" w:eastAsiaTheme="minorEastAsia"/>
          <w:sz w:val="24"/>
          <w:lang w:val="zh-CN" w:bidi="ar"/>
        </w:rPr>
        <w:t>、本工程量清单的单价应为全费用综合单价。工程量清单和清单的综合单价应与投标须知、合同条款、现行施工技术规范、图纸、资料等文件及响应文件、现场情况结合起来查阅、理解和计算。</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5</w:t>
      </w:r>
      <w:r>
        <w:rPr>
          <w:rFonts w:hint="eastAsia" w:ascii="宋体" w:hAnsi="宋体" w:cs="宋体" w:eastAsiaTheme="minorEastAsia"/>
          <w:sz w:val="24"/>
          <w:lang w:val="zh-CN" w:bidi="ar"/>
        </w:rPr>
        <w:t>、投标人编写投标书时，均应把涨价因素影响计入</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综合单价和总价，在合同执行中不再更改或调整</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6</w:t>
      </w:r>
      <w:r>
        <w:rPr>
          <w:rFonts w:hint="eastAsia" w:ascii="宋体" w:hAnsi="宋体" w:cs="宋体" w:eastAsiaTheme="minorEastAsia"/>
          <w:sz w:val="24"/>
          <w:lang w:val="zh-CN" w:bidi="ar"/>
        </w:rPr>
        <w:t>、工程量清单中应标价细目的单价应为全费用综合单价，该</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均已包括了为施工和完成该细目工程所需的市场价格的劳务费、材料费、机械费、运输费、安装费、缺陷修复费、投料联合试车费、管理费、保险费、构件及材料的测试费、鉴定费、规费、利润及税金等各种费用和价格，并包括各项费用和价格的涨价风险等以及合同明示或暗示的所有责任、义务和不可抗力以外的一切风险。</w:t>
      </w:r>
    </w:p>
    <w:p>
      <w:pPr>
        <w:autoSpaceDE w:val="0"/>
        <w:autoSpaceDN w:val="0"/>
        <w:adjustRightInd w:val="0"/>
        <w:spacing w:line="480" w:lineRule="exact"/>
        <w:ind w:right="54" w:firstLine="480" w:firstLineChars="200"/>
        <w:rPr>
          <w:rFonts w:hint="eastAsia" w:ascii="宋体" w:hAnsi="宋体" w:cs="宋体" w:eastAsiaTheme="minorEastAsia"/>
          <w:sz w:val="24"/>
          <w:lang w:val="zh-CN"/>
        </w:rPr>
      </w:pPr>
      <w:r>
        <w:rPr>
          <w:rFonts w:hint="eastAsia" w:ascii="宋体" w:hAnsi="宋体" w:cs="宋体" w:eastAsiaTheme="minorEastAsia"/>
          <w:sz w:val="24"/>
          <w:lang w:bidi="ar"/>
        </w:rPr>
        <w:t>7</w:t>
      </w:r>
      <w:r>
        <w:rPr>
          <w:rFonts w:hint="eastAsia" w:ascii="宋体" w:hAnsi="宋体" w:cs="宋体" w:eastAsiaTheme="minorEastAsia"/>
          <w:sz w:val="24"/>
          <w:lang w:val="zh-CN" w:bidi="ar"/>
        </w:rPr>
        <w:t>、不论数量是否标出，工程量清单中的每一细目都必须填入</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综合单价和合价，投标时没有填入</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综合单价和合价的细目，其费用应视为已分配在工程量清单的其它</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综合单价或合价之中。</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8</w:t>
      </w:r>
      <w:r>
        <w:rPr>
          <w:rFonts w:hint="eastAsia" w:ascii="宋体" w:hAnsi="宋体" w:cs="宋体" w:eastAsiaTheme="minorEastAsia"/>
          <w:sz w:val="24"/>
          <w:lang w:val="zh-CN" w:bidi="ar"/>
        </w:rPr>
        <w:t>、工程量清单的项目及投标人填入的</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综合单价，应认为是符合合同条件规定的全部费用已计入有标价的工程量清单所列各细目和</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综合单价之中，未列细目不计量的工作其费用应视为已分摊在本工程有关细目的</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综合单价或总额价之中。</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9</w:t>
      </w:r>
      <w:r>
        <w:rPr>
          <w:rFonts w:hint="eastAsia" w:ascii="宋体" w:hAnsi="宋体" w:cs="宋体" w:eastAsiaTheme="minorEastAsia"/>
          <w:sz w:val="24"/>
          <w:lang w:val="zh-CN" w:bidi="ar"/>
        </w:rPr>
        <w:t>、投标人在给工程量清单各细目标价前，应认真参阅合同条件、技术规范的有关部分。</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10</w:t>
      </w:r>
      <w:r>
        <w:rPr>
          <w:rFonts w:hint="eastAsia" w:ascii="宋体" w:hAnsi="宋体" w:cs="宋体" w:eastAsiaTheme="minorEastAsia"/>
          <w:sz w:val="24"/>
          <w:lang w:val="zh-CN" w:bidi="ar"/>
        </w:rPr>
        <w:t>、除非合同中另有规定，工程量清单中所列工程数量的变动，丝毫不会降低或影响合同条件的效力，也不免除承包人按规定的标准进行施工和缺陷修复的责任。</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11</w:t>
      </w:r>
      <w:r>
        <w:rPr>
          <w:rFonts w:hint="eastAsia" w:ascii="宋体" w:hAnsi="宋体" w:cs="宋体" w:eastAsiaTheme="minorEastAsia"/>
          <w:sz w:val="24"/>
          <w:lang w:val="zh-CN" w:bidi="ar"/>
        </w:rPr>
        <w:t>、投标人用于本合同工程的各类装备的提供、运输、拆卸、拼装等支付的费用，已包括在工程量清单的</w:t>
      </w:r>
      <w:r>
        <w:rPr>
          <w:rFonts w:hint="eastAsia" w:ascii="宋体" w:hAnsi="宋体" w:cs="宋体" w:eastAsiaTheme="minorEastAsia"/>
          <w:sz w:val="24"/>
          <w:lang w:val="en-US" w:eastAsia="zh-CN" w:bidi="ar"/>
        </w:rPr>
        <w:t>全部费用</w:t>
      </w:r>
      <w:r>
        <w:rPr>
          <w:rFonts w:hint="eastAsia" w:ascii="宋体" w:hAnsi="宋体" w:cs="宋体" w:eastAsiaTheme="minorEastAsia"/>
          <w:sz w:val="24"/>
          <w:lang w:val="zh-CN" w:bidi="ar"/>
        </w:rPr>
        <w:t>综合单价与合价之中。</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12</w:t>
      </w:r>
      <w:r>
        <w:rPr>
          <w:rFonts w:hint="eastAsia" w:ascii="宋体" w:hAnsi="宋体" w:cs="宋体" w:eastAsiaTheme="minorEastAsia"/>
          <w:sz w:val="24"/>
          <w:lang w:val="zh-CN" w:bidi="ar"/>
        </w:rPr>
        <w:t>、工程量清单中所编列的各工程细目名称是以主要作业内容为依据命名的，而其他附属作业内容没有列出，投标人在填写</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综合单价或合价时，应将其相应内容计入</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综合单价和合价之中。</w:t>
      </w:r>
    </w:p>
    <w:p>
      <w:pPr>
        <w:autoSpaceDE w:val="0"/>
        <w:autoSpaceDN w:val="0"/>
        <w:adjustRightInd w:val="0"/>
        <w:spacing w:line="480" w:lineRule="exact"/>
        <w:ind w:right="54" w:firstLine="480" w:firstLineChars="200"/>
        <w:rPr>
          <w:rFonts w:hint="eastAsia" w:ascii="宋体" w:hAnsi="宋体" w:cs="宋体" w:eastAsiaTheme="minorEastAsia"/>
          <w:sz w:val="24"/>
        </w:rPr>
      </w:pPr>
      <w:r>
        <w:rPr>
          <w:rFonts w:hint="eastAsia" w:ascii="宋体" w:hAnsi="宋体" w:cs="宋体" w:eastAsiaTheme="minorEastAsia"/>
          <w:sz w:val="24"/>
          <w:lang w:bidi="ar"/>
        </w:rPr>
        <w:t>13</w:t>
      </w:r>
      <w:r>
        <w:rPr>
          <w:rFonts w:hint="eastAsia" w:ascii="宋体" w:hAnsi="宋体" w:cs="宋体" w:eastAsiaTheme="minorEastAsia"/>
          <w:sz w:val="24"/>
          <w:lang w:val="zh-CN" w:bidi="ar"/>
        </w:rPr>
        <w:t>、本工程的结算单价：</w:t>
      </w:r>
    </w:p>
    <w:p>
      <w:pPr>
        <w:autoSpaceDE w:val="0"/>
        <w:autoSpaceDN w:val="0"/>
        <w:adjustRightInd w:val="0"/>
        <w:spacing w:line="480" w:lineRule="exact"/>
        <w:ind w:right="54" w:firstLine="480" w:firstLineChars="200"/>
        <w:rPr>
          <w:rFonts w:hint="eastAsia" w:ascii="宋体" w:hAnsi="宋体" w:cs="宋体" w:eastAsiaTheme="minorEastAsia"/>
          <w:sz w:val="24"/>
          <w:lang w:val="zh-CN"/>
        </w:rPr>
      </w:pPr>
      <w:r>
        <w:rPr>
          <w:rFonts w:hint="eastAsia" w:ascii="宋体" w:hAnsi="宋体" w:cs="宋体" w:eastAsiaTheme="minorEastAsia"/>
          <w:sz w:val="24"/>
          <w:lang w:val="zh-CN" w:bidi="ar"/>
        </w:rPr>
        <w:t>以此次中标的全费用综合单价作为结算的工程量单价，综合单价不允许调整，如果出现在本次中标人投标书中没有列出</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综合单价的工程细目时，用以下办法解决：（</w:t>
      </w:r>
      <w:r>
        <w:rPr>
          <w:rFonts w:hint="eastAsia" w:ascii="宋体" w:hAnsi="宋体" w:cs="宋体" w:eastAsiaTheme="minorEastAsia"/>
          <w:sz w:val="24"/>
          <w:lang w:bidi="ar"/>
        </w:rPr>
        <w:t>1</w:t>
      </w:r>
      <w:r>
        <w:rPr>
          <w:rFonts w:hint="eastAsia" w:ascii="宋体" w:hAnsi="宋体" w:cs="宋体" w:eastAsiaTheme="minorEastAsia"/>
          <w:sz w:val="24"/>
          <w:lang w:val="zh-CN" w:bidi="ar"/>
        </w:rPr>
        <w:t>）在</w:t>
      </w:r>
      <w:r>
        <w:rPr>
          <w:rFonts w:hint="eastAsia" w:ascii="宋体" w:hAnsi="宋体" w:cs="宋体" w:eastAsiaTheme="minorEastAsia"/>
          <w:sz w:val="24"/>
          <w:lang w:bidi="ar"/>
        </w:rPr>
        <w:t>成交供应商响应文件</w:t>
      </w:r>
      <w:r>
        <w:rPr>
          <w:rFonts w:hint="eastAsia" w:ascii="宋体" w:hAnsi="宋体" w:cs="宋体" w:eastAsiaTheme="minorEastAsia"/>
          <w:sz w:val="24"/>
          <w:lang w:val="zh-CN" w:bidi="ar"/>
        </w:rPr>
        <w:t>中已有</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综合单价中，用施工做法相类似的</w:t>
      </w:r>
      <w:r>
        <w:rPr>
          <w:rFonts w:hint="eastAsia" w:ascii="宋体" w:hAnsi="宋体" w:cs="宋体" w:eastAsiaTheme="minorEastAsia"/>
          <w:sz w:val="24"/>
          <w:lang w:val="en-US" w:eastAsia="zh-CN" w:bidi="ar"/>
        </w:rPr>
        <w:t>全费用</w:t>
      </w:r>
      <w:r>
        <w:rPr>
          <w:rFonts w:hint="eastAsia" w:ascii="宋体" w:hAnsi="宋体" w:cs="宋体" w:eastAsiaTheme="minorEastAsia"/>
          <w:sz w:val="24"/>
          <w:lang w:val="zh-CN" w:bidi="ar"/>
        </w:rPr>
        <w:t>综合单价，并在单价分析中置换主材价格，其他子项不动，作为此项目的综合单价，（</w:t>
      </w:r>
      <w:r>
        <w:rPr>
          <w:rFonts w:hint="eastAsia" w:ascii="宋体" w:hAnsi="宋体" w:cs="宋体" w:eastAsiaTheme="minorEastAsia"/>
          <w:sz w:val="24"/>
          <w:lang w:bidi="ar"/>
        </w:rPr>
        <w:t>2</w:t>
      </w:r>
      <w:r>
        <w:rPr>
          <w:rFonts w:hint="eastAsia" w:ascii="宋体" w:hAnsi="宋体" w:cs="宋体" w:eastAsiaTheme="minorEastAsia"/>
          <w:sz w:val="24"/>
          <w:lang w:val="zh-CN" w:bidi="ar"/>
        </w:rPr>
        <w:t>）在</w:t>
      </w:r>
      <w:r>
        <w:rPr>
          <w:rFonts w:hint="eastAsia" w:ascii="宋体" w:hAnsi="宋体" w:cs="宋体" w:eastAsiaTheme="minorEastAsia"/>
          <w:sz w:val="24"/>
          <w:lang w:bidi="ar"/>
        </w:rPr>
        <w:t>成交供应商响应文件</w:t>
      </w:r>
      <w:r>
        <w:rPr>
          <w:rFonts w:hint="eastAsia" w:ascii="宋体" w:hAnsi="宋体" w:cs="宋体" w:eastAsiaTheme="minorEastAsia"/>
          <w:sz w:val="24"/>
          <w:lang w:val="zh-CN" w:bidi="ar"/>
        </w:rPr>
        <w:t>中没有施工做法相类似的综合单价时，按照合同约定执行。</w:t>
      </w:r>
    </w:p>
    <w:p>
      <w:pPr>
        <w:autoSpaceDE w:val="0"/>
        <w:autoSpaceDN w:val="0"/>
        <w:adjustRightInd w:val="0"/>
        <w:spacing w:line="480" w:lineRule="exact"/>
        <w:ind w:right="54" w:firstLine="480" w:firstLineChars="200"/>
        <w:rPr>
          <w:rFonts w:hint="eastAsia" w:ascii="宋体" w:hAnsi="宋体" w:cs="宋体" w:eastAsiaTheme="minorEastAsia"/>
          <w:sz w:val="24"/>
          <w:lang w:val="zh-CN"/>
        </w:rPr>
      </w:pPr>
      <w:r>
        <w:rPr>
          <w:rFonts w:hint="eastAsia" w:ascii="宋体" w:hAnsi="宋体" w:cs="宋体" w:eastAsiaTheme="minorEastAsia"/>
          <w:sz w:val="24"/>
          <w:lang w:val="zh-CN" w:bidi="ar"/>
        </w:rPr>
        <w:t xml:space="preserve">  14、其他说明：</w:t>
      </w:r>
    </w:p>
    <w:p>
      <w:pPr>
        <w:autoSpaceDE w:val="0"/>
        <w:autoSpaceDN w:val="0"/>
        <w:adjustRightInd w:val="0"/>
        <w:spacing w:line="480" w:lineRule="exact"/>
        <w:ind w:right="54" w:firstLine="480" w:firstLineChars="200"/>
        <w:rPr>
          <w:rFonts w:hint="eastAsia" w:ascii="宋体" w:hAnsi="宋体" w:cs="宋体" w:eastAsiaTheme="minorEastAsia"/>
          <w:sz w:val="24"/>
          <w:lang w:val="zh-CN" w:bidi="ar"/>
        </w:rPr>
      </w:pPr>
      <w:r>
        <w:rPr>
          <w:rFonts w:hint="eastAsia" w:ascii="宋体" w:hAnsi="宋体" w:cs="宋体" w:eastAsiaTheme="minorEastAsia"/>
          <w:sz w:val="24"/>
          <w:lang w:val="zh-CN" w:bidi="ar"/>
        </w:rPr>
        <w:t>（1）分部分项工程量清单表中描述的材料规格及要求、项目特征同施工图纸，工程内容为完成该工作所包括的所有施工工序，若描述中有遗漏处参照施工图纸和有关施工验收规范要求进行。</w:t>
      </w:r>
    </w:p>
    <w:p>
      <w:pPr>
        <w:autoSpaceDE w:val="0"/>
        <w:autoSpaceDN w:val="0"/>
        <w:adjustRightInd w:val="0"/>
        <w:spacing w:line="480" w:lineRule="exact"/>
        <w:ind w:right="54" w:firstLine="480" w:firstLineChars="200"/>
        <w:rPr>
          <w:rFonts w:hint="eastAsia" w:ascii="宋体" w:hAnsi="宋体" w:cs="宋体" w:eastAsiaTheme="minorEastAsia"/>
          <w:sz w:val="24"/>
          <w:lang w:val="zh-CN" w:bidi="ar"/>
        </w:rPr>
      </w:pPr>
      <w:r>
        <w:rPr>
          <w:rFonts w:hint="eastAsia" w:ascii="宋体" w:hAnsi="宋体" w:cs="宋体" w:eastAsiaTheme="minorEastAsia"/>
          <w:sz w:val="24"/>
          <w:lang w:val="zh-CN" w:bidi="ar"/>
        </w:rPr>
        <w:t xml:space="preserve">  （2）施工现场文明施工、现场围挡等所有工作内容各投标人均应在措施项目清单报价中综合考虑，否则造成的损失投标人自行负责。</w:t>
      </w:r>
    </w:p>
    <w:p>
      <w:pPr>
        <w:autoSpaceDE w:val="0"/>
        <w:autoSpaceDN w:val="0"/>
        <w:adjustRightInd w:val="0"/>
        <w:spacing w:line="480" w:lineRule="exact"/>
        <w:ind w:right="54" w:firstLine="480" w:firstLineChars="200"/>
        <w:rPr>
          <w:rFonts w:hint="eastAsia" w:ascii="宋体" w:hAnsi="宋体" w:cs="宋体" w:eastAsiaTheme="minorEastAsia"/>
          <w:sz w:val="24"/>
          <w:lang w:val="zh-CN" w:bidi="ar"/>
        </w:rPr>
      </w:pPr>
      <w:r>
        <w:rPr>
          <w:rFonts w:hint="eastAsia" w:ascii="宋体" w:hAnsi="宋体" w:cs="宋体" w:eastAsiaTheme="minorEastAsia"/>
          <w:sz w:val="24"/>
          <w:lang w:val="zh-CN" w:bidi="ar"/>
        </w:rPr>
        <w:t xml:space="preserve">  （3）投标人在报价前应详细审核工程量清单，如发现发包人提供的工程量清单有误，应在参加答疑会前书面提出澄清申请，否则产生的风险由投标人自行承担。</w:t>
      </w:r>
    </w:p>
    <w:p>
      <w:pPr>
        <w:autoSpaceDE w:val="0"/>
        <w:autoSpaceDN w:val="0"/>
        <w:adjustRightInd w:val="0"/>
        <w:spacing w:line="480" w:lineRule="exact"/>
        <w:ind w:right="54" w:firstLine="480" w:firstLineChars="200"/>
        <w:rPr>
          <w:rFonts w:hint="eastAsia" w:ascii="宋体" w:hAnsi="宋体" w:cs="宋体" w:eastAsiaTheme="minorEastAsia"/>
          <w:sz w:val="24"/>
          <w:lang w:val="zh-CN" w:bidi="ar"/>
        </w:rPr>
      </w:pPr>
      <w:r>
        <w:rPr>
          <w:rFonts w:hint="eastAsia" w:ascii="宋体" w:hAnsi="宋体" w:cs="宋体" w:eastAsiaTheme="minorEastAsia"/>
          <w:sz w:val="24"/>
          <w:lang w:val="zh-CN" w:bidi="ar"/>
        </w:rPr>
        <w:t xml:space="preserve">  （4）无论工程量清单细目中的工程量大小，投标人都应当对每一细目进行认真分析并充分考虑可能的工程量增减风险后报价，否则由投标人自行承担由于可能的工程量变更导致的报价风险。</w:t>
      </w:r>
    </w:p>
    <w:p>
      <w:pPr>
        <w:autoSpaceDE w:val="0"/>
        <w:autoSpaceDN w:val="0"/>
        <w:adjustRightInd w:val="0"/>
        <w:spacing w:line="480" w:lineRule="exact"/>
        <w:ind w:right="54" w:firstLine="480" w:firstLineChars="200"/>
        <w:rPr>
          <w:rFonts w:hint="eastAsia" w:ascii="宋体" w:hAnsi="宋体" w:cs="宋体" w:eastAsiaTheme="minorEastAsia"/>
          <w:sz w:val="24"/>
          <w:lang w:bidi="ar"/>
        </w:rPr>
      </w:pPr>
      <w:r>
        <w:rPr>
          <w:rFonts w:hint="eastAsia" w:ascii="宋体" w:hAnsi="宋体" w:cs="宋体" w:eastAsiaTheme="minorEastAsia"/>
          <w:sz w:val="24"/>
          <w:lang w:val="zh-CN" w:bidi="ar"/>
        </w:rPr>
        <w:t xml:space="preserve">   （5）</w:t>
      </w:r>
      <w:r>
        <w:rPr>
          <w:rFonts w:hint="eastAsia" w:ascii="宋体" w:hAnsi="宋体" w:cs="宋体" w:eastAsiaTheme="minorEastAsia"/>
          <w:sz w:val="24"/>
          <w:lang w:bidi="ar"/>
        </w:rPr>
        <w:t>垃圾外运地点及运距投标人在报价中自行考虑。</w:t>
      </w:r>
    </w:p>
    <w:p>
      <w:pPr>
        <w:spacing w:line="480" w:lineRule="exact"/>
        <w:ind w:firstLine="480" w:firstLineChars="200"/>
        <w:rPr>
          <w:rFonts w:hint="eastAsia" w:eastAsiaTheme="minorEastAsia"/>
        </w:rPr>
      </w:pPr>
    </w:p>
    <w:p>
      <w:pPr>
        <w:spacing w:line="480" w:lineRule="exact"/>
        <w:ind w:firstLine="482" w:firstLineChars="200"/>
        <w:rPr>
          <w:rFonts w:hint="eastAsia" w:cs="宋体" w:eastAsiaTheme="minorEastAsia"/>
          <w:b/>
          <w:sz w:val="18"/>
          <w:szCs w:val="24"/>
          <w:lang w:bidi="ar"/>
        </w:rPr>
      </w:pPr>
      <w:r>
        <w:rPr>
          <w:rFonts w:hint="eastAsia" w:cs="宋体" w:eastAsiaTheme="minorEastAsia"/>
          <w:b/>
          <w:sz w:val="24"/>
          <w:szCs w:val="24"/>
          <w:lang w:bidi="ar"/>
        </w:rPr>
        <w:t>附件：工程量清单</w:t>
      </w:r>
    </w:p>
    <w:tbl>
      <w:tblPr>
        <w:tblStyle w:val="33"/>
        <w:tblW w:w="9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266"/>
        <w:gridCol w:w="1806"/>
        <w:gridCol w:w="876"/>
        <w:gridCol w:w="1326"/>
        <w:gridCol w:w="1146"/>
        <w:gridCol w:w="1146"/>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876" w:type="dxa"/>
            <w:vMerge w:val="restart"/>
            <w:tcBorders>
              <w:top w:val="single" w:color="000000" w:sz="8"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序号</w:t>
            </w:r>
          </w:p>
        </w:tc>
        <w:tc>
          <w:tcPr>
            <w:tcW w:w="1266" w:type="dxa"/>
            <w:vMerge w:val="restart"/>
            <w:tcBorders>
              <w:top w:val="single" w:color="000000" w:sz="8"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项目编码</w:t>
            </w:r>
          </w:p>
        </w:tc>
        <w:tc>
          <w:tcPr>
            <w:tcW w:w="1806" w:type="dxa"/>
            <w:vMerge w:val="restart"/>
            <w:tcBorders>
              <w:top w:val="single" w:color="000000" w:sz="8"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 xml:space="preserve">项目名称 </w:t>
            </w:r>
            <w:r>
              <w:rPr>
                <w:rFonts w:hint="eastAsia" w:ascii="黑体" w:hAnsi="宋体" w:cs="黑体" w:eastAsiaTheme="minorEastAsia"/>
                <w:i w:val="0"/>
                <w:iCs w:val="0"/>
                <w:color w:val="000000"/>
                <w:kern w:val="0"/>
                <w:sz w:val="21"/>
                <w:szCs w:val="21"/>
                <w:u w:val="none"/>
                <w:lang w:val="en-US" w:eastAsia="zh-CN" w:bidi="ar"/>
              </w:rPr>
              <w:br w:type="textWrapping"/>
            </w:r>
            <w:r>
              <w:rPr>
                <w:rFonts w:hint="eastAsia" w:ascii="黑体" w:hAnsi="宋体" w:cs="黑体" w:eastAsiaTheme="minorEastAsia"/>
                <w:i w:val="0"/>
                <w:iCs w:val="0"/>
                <w:color w:val="000000"/>
                <w:kern w:val="0"/>
                <w:sz w:val="21"/>
                <w:szCs w:val="21"/>
                <w:u w:val="none"/>
                <w:lang w:val="en-US" w:eastAsia="zh-CN" w:bidi="ar"/>
              </w:rPr>
              <w:t>项目特征</w:t>
            </w:r>
          </w:p>
        </w:tc>
        <w:tc>
          <w:tcPr>
            <w:tcW w:w="876" w:type="dxa"/>
            <w:vMerge w:val="restart"/>
            <w:tcBorders>
              <w:top w:val="single" w:color="000000" w:sz="8"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计量单位</w:t>
            </w:r>
          </w:p>
        </w:tc>
        <w:tc>
          <w:tcPr>
            <w:tcW w:w="13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工程数量</w:t>
            </w:r>
          </w:p>
        </w:tc>
        <w:tc>
          <w:tcPr>
            <w:tcW w:w="3605" w:type="dxa"/>
            <w:gridSpan w:val="3"/>
            <w:tcBorders>
              <w:top w:val="single" w:color="000000" w:sz="8"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7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top"/>
          </w:tcPr>
          <w:p>
            <w:pPr>
              <w:spacing w:line="240" w:lineRule="auto"/>
              <w:ind w:firstLine="420" w:firstLineChars="200"/>
              <w:jc w:val="both"/>
              <w:rPr>
                <w:rFonts w:hint="eastAsia" w:ascii="黑体" w:hAnsi="宋体" w:cs="黑体" w:eastAsiaTheme="minorEastAsia"/>
                <w:i w:val="0"/>
                <w:iCs w:val="0"/>
                <w:color w:val="000000"/>
                <w:sz w:val="21"/>
                <w:szCs w:val="21"/>
                <w:u w:val="none"/>
              </w:rPr>
            </w:pPr>
          </w:p>
        </w:tc>
        <w:tc>
          <w:tcPr>
            <w:tcW w:w="12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top"/>
          </w:tcPr>
          <w:p>
            <w:pPr>
              <w:spacing w:line="240" w:lineRule="auto"/>
              <w:ind w:firstLine="420" w:firstLineChars="200"/>
              <w:jc w:val="both"/>
              <w:rPr>
                <w:rFonts w:hint="eastAsia" w:ascii="黑体" w:hAnsi="宋体" w:cs="黑体" w:eastAsiaTheme="minorEastAsia"/>
                <w:i w:val="0"/>
                <w:iCs w:val="0"/>
                <w:color w:val="000000"/>
                <w:sz w:val="21"/>
                <w:szCs w:val="21"/>
                <w:u w:val="none"/>
              </w:rPr>
            </w:pPr>
          </w:p>
        </w:tc>
        <w:tc>
          <w:tcPr>
            <w:tcW w:w="180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top"/>
          </w:tcPr>
          <w:p>
            <w:pPr>
              <w:spacing w:line="240" w:lineRule="auto"/>
              <w:ind w:firstLine="420" w:firstLineChars="200"/>
              <w:jc w:val="both"/>
              <w:rPr>
                <w:rFonts w:hint="eastAsia" w:ascii="黑体" w:hAnsi="宋体" w:cs="黑体" w:eastAsiaTheme="minorEastAsia"/>
                <w:i w:val="0"/>
                <w:iCs w:val="0"/>
                <w:color w:val="000000"/>
                <w:sz w:val="21"/>
                <w:szCs w:val="21"/>
                <w:u w:val="none"/>
              </w:rPr>
            </w:pPr>
          </w:p>
        </w:tc>
        <w:tc>
          <w:tcPr>
            <w:tcW w:w="8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top"/>
          </w:tcPr>
          <w:p>
            <w:pPr>
              <w:spacing w:line="240" w:lineRule="auto"/>
              <w:ind w:firstLine="420" w:firstLineChars="200"/>
              <w:jc w:val="both"/>
              <w:rPr>
                <w:rFonts w:hint="eastAsia" w:ascii="黑体" w:hAnsi="宋体" w:cs="黑体" w:eastAsiaTheme="minorEastAsia"/>
                <w:i w:val="0"/>
                <w:iCs w:val="0"/>
                <w:color w:val="000000"/>
                <w:sz w:val="21"/>
                <w:szCs w:val="21"/>
                <w:u w:val="none"/>
              </w:rPr>
            </w:pPr>
          </w:p>
        </w:tc>
        <w:tc>
          <w:tcPr>
            <w:tcW w:w="13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top"/>
          </w:tcPr>
          <w:p>
            <w:pPr>
              <w:spacing w:line="240" w:lineRule="auto"/>
              <w:ind w:firstLine="420" w:firstLineChars="200"/>
              <w:jc w:val="both"/>
              <w:rPr>
                <w:rFonts w:hint="eastAsia" w:ascii="黑体" w:hAnsi="宋体" w:cs="黑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综合单价</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合价</w:t>
            </w: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040101002001</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挖沟槽土方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挖沟槽土方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1.土壤类别:综合考虑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2.挖土深度:综合考虑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3.开挖方式:机械开挖</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m3</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1492.85</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010103001001</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回填方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回填方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1.填方部位:水管180°砂石基础以上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2.填方材料品种:素土(原有）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3.填方粒径要求:详见设计要求</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m3</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1121.2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040103001001</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回填方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回填方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1.填方部位:管道沟槽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2.填方材料品种:中粗砂</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m3</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163.6</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040103002001</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余方弃置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余方弃置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1.废弃料品种:综合考虑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2.运距:执行当地政策规定</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m3</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371.65</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040501004001</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塑料管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塑料管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1.名称：给水管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2.材质：PE dn315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3.压力等级：0.8mpa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4.压力测试</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m</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2045</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040501008001</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水平导向钻进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水平导向钻进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1.名称：水平定向钻(包含管道连接)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2.规格：PE  dn315 1.25mpa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3.方式：双管钻进</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m</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cs="宋体" w:eastAsiaTheme="minorEastAsia"/>
                <w:i w:val="0"/>
                <w:iCs w:val="0"/>
                <w:color w:val="000000"/>
                <w:kern w:val="0"/>
                <w:sz w:val="21"/>
                <w:szCs w:val="21"/>
                <w:u w:val="none"/>
                <w:lang w:val="en-US" w:eastAsia="zh-CN" w:bidi="ar"/>
              </w:rPr>
              <w:t>604</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7</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cs="宋体" w:eastAsiaTheme="minorEastAsia"/>
                <w:i w:val="0"/>
                <w:iCs w:val="0"/>
                <w:color w:val="000000"/>
                <w:kern w:val="0"/>
                <w:sz w:val="21"/>
                <w:szCs w:val="21"/>
                <w:u w:val="none"/>
                <w:lang w:val="en-US" w:eastAsia="zh-CN" w:bidi="ar"/>
              </w:rPr>
              <w:t>绿化恢复等</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cs="宋体" w:eastAsiaTheme="minorEastAsia"/>
                <w:i w:val="0"/>
                <w:iCs w:val="0"/>
                <w:color w:val="000000"/>
                <w:kern w:val="0"/>
                <w:sz w:val="21"/>
                <w:szCs w:val="21"/>
                <w:u w:val="none"/>
                <w:lang w:val="en-US" w:eastAsia="zh-CN" w:bidi="ar"/>
              </w:rPr>
              <w:t>项</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cs="宋体" w:eastAsiaTheme="minorEastAsia"/>
                <w:i w:val="0"/>
                <w:iCs w:val="0"/>
                <w:color w:val="000000"/>
                <w:kern w:val="0"/>
                <w:sz w:val="21"/>
                <w:szCs w:val="21"/>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default" w:ascii="宋体" w:hAnsi="宋体" w:cs="宋体" w:eastAsiaTheme="minorEastAsia"/>
                <w:i w:val="0"/>
                <w:iCs w:val="0"/>
                <w:color w:val="000000"/>
                <w:sz w:val="21"/>
                <w:szCs w:val="21"/>
                <w:u w:val="none"/>
                <w:lang w:val="en-US" w:eastAsia="zh-CN"/>
              </w:rPr>
            </w:pPr>
            <w:r>
              <w:rPr>
                <w:rFonts w:hint="eastAsia" w:cs="宋体" w:eastAsiaTheme="minorEastAsia"/>
                <w:i w:val="0"/>
                <w:iCs w:val="0"/>
                <w:color w:val="000000"/>
                <w:sz w:val="21"/>
                <w:szCs w:val="21"/>
                <w:u w:val="none"/>
                <w:lang w:val="en-US" w:eastAsia="zh-CN"/>
              </w:rPr>
              <w:t>25000</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default" w:ascii="宋体" w:hAnsi="宋体" w:cs="宋体" w:eastAsiaTheme="minorEastAsia"/>
                <w:i w:val="0"/>
                <w:iCs w:val="0"/>
                <w:color w:val="000000"/>
                <w:sz w:val="21"/>
                <w:szCs w:val="21"/>
                <w:u w:val="none"/>
                <w:lang w:val="en-US" w:eastAsia="zh-CN"/>
              </w:rPr>
            </w:pPr>
            <w:r>
              <w:rPr>
                <w:rFonts w:hint="eastAsia" w:cs="宋体" w:eastAsiaTheme="minorEastAsia"/>
                <w:i w:val="0"/>
                <w:iCs w:val="0"/>
                <w:color w:val="000000"/>
                <w:sz w:val="21"/>
                <w:szCs w:val="21"/>
                <w:u w:val="none"/>
                <w:lang w:val="en-US" w:eastAsia="zh-CN"/>
              </w:rPr>
              <w:t>25000</w:t>
            </w: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default" w:ascii="宋体" w:hAnsi="宋体" w:cs="宋体" w:eastAsiaTheme="minorEastAsia"/>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8</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040504001009</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三通水表井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三通水表井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1.名称:三通水表井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2.规格：DN300*300砖砌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3.做法：07ms101-2-41</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座</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9</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040504001006</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三通阀门井</w:t>
            </w:r>
            <w:r>
              <w:rPr>
                <w:rFonts w:hint="eastAsia" w:cs="宋体" w:eastAsiaTheme="minorEastAsia"/>
                <w:i w:val="0"/>
                <w:iCs w:val="0"/>
                <w:color w:val="000000"/>
                <w:kern w:val="0"/>
                <w:sz w:val="21"/>
                <w:szCs w:val="21"/>
                <w:u w:val="none"/>
                <w:lang w:val="en-US" w:eastAsia="zh-CN" w:bidi="ar"/>
              </w:rPr>
              <w:t>（含附属设施安装）</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1.名称:三通闸阀井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2.规格：DN300砖砌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3.做法：07ms101-2-14</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座</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040504001007</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三通阀门井 </w:t>
            </w:r>
            <w:r>
              <w:rPr>
                <w:rFonts w:hint="eastAsia" w:cs="宋体" w:eastAsiaTheme="minorEastAsia"/>
                <w:i w:val="0"/>
                <w:iCs w:val="0"/>
                <w:color w:val="000000"/>
                <w:kern w:val="0"/>
                <w:sz w:val="21"/>
                <w:szCs w:val="21"/>
                <w:u w:val="none"/>
                <w:lang w:val="en-US" w:eastAsia="zh-CN" w:bidi="ar"/>
              </w:rPr>
              <w:t>（含附属设施安装）</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1.名称:三通水表井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2.规格：DN300*65砖砌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3.做法：07ms101-2-41</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座</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4</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040504001008</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 xml:space="preserve">排气井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1.名称:排气井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 xml:space="preserve">2.规格：DN300砖砌 </w:t>
            </w:r>
            <w:r>
              <w:rPr>
                <w:rFonts w:hint="eastAsia" w:ascii="宋体" w:hAnsi="宋体" w:cs="宋体" w:eastAsiaTheme="minorEastAsia"/>
                <w:i w:val="0"/>
                <w:iCs w:val="0"/>
                <w:color w:val="000000"/>
                <w:kern w:val="0"/>
                <w:sz w:val="21"/>
                <w:szCs w:val="21"/>
                <w:u w:val="none"/>
                <w:lang w:val="en-US" w:eastAsia="zh-CN" w:bidi="ar"/>
              </w:rPr>
              <w:br w:type="textWrapping"/>
            </w:r>
            <w:r>
              <w:rPr>
                <w:rFonts w:hint="eastAsia" w:ascii="宋体" w:hAnsi="宋体" w:cs="宋体" w:eastAsiaTheme="minorEastAsia"/>
                <w:i w:val="0"/>
                <w:iCs w:val="0"/>
                <w:color w:val="000000"/>
                <w:kern w:val="0"/>
                <w:sz w:val="21"/>
                <w:szCs w:val="21"/>
                <w:u w:val="none"/>
                <w:lang w:val="en-US" w:eastAsia="zh-CN" w:bidi="ar"/>
              </w:rPr>
              <w:t>3.做法：07ms101-2-52</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座</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2</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876" w:type="dxa"/>
            <w:tcBorders>
              <w:top w:val="single" w:color="000000" w:sz="4" w:space="0"/>
              <w:left w:val="single" w:color="000000" w:sz="8"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default" w:ascii="宋体" w:hAnsi="宋体" w:cs="宋体" w:eastAsiaTheme="minorEastAsia"/>
                <w:i w:val="0"/>
                <w:iCs w:val="0"/>
                <w:color w:val="000000"/>
                <w:kern w:val="0"/>
                <w:sz w:val="21"/>
                <w:szCs w:val="21"/>
                <w:u w:val="none"/>
                <w:lang w:val="en-US" w:eastAsia="zh-CN" w:bidi="ar"/>
              </w:rPr>
            </w:pPr>
            <w:r>
              <w:rPr>
                <w:rFonts w:hint="eastAsia" w:cs="宋体" w:eastAsiaTheme="minorEastAsia"/>
                <w:i w:val="0"/>
                <w:iCs w:val="0"/>
                <w:color w:val="000000"/>
                <w:kern w:val="0"/>
                <w:sz w:val="21"/>
                <w:szCs w:val="21"/>
                <w:u w:val="none"/>
                <w:lang w:val="en-US" w:eastAsia="zh-CN" w:bidi="ar"/>
              </w:rPr>
              <w:t>12</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kern w:val="0"/>
                <w:sz w:val="21"/>
                <w:szCs w:val="21"/>
                <w:u w:val="none"/>
                <w:lang w:val="en-US" w:eastAsia="zh-CN" w:bidi="ar"/>
              </w:rPr>
            </w:pP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default" w:ascii="宋体" w:hAnsi="宋体" w:cs="宋体" w:eastAsiaTheme="minorEastAsia"/>
                <w:i w:val="0"/>
                <w:iCs w:val="0"/>
                <w:color w:val="000000"/>
                <w:kern w:val="0"/>
                <w:sz w:val="21"/>
                <w:szCs w:val="21"/>
                <w:u w:val="none"/>
                <w:lang w:val="en-US" w:eastAsia="zh-CN" w:bidi="ar"/>
              </w:rPr>
            </w:pPr>
            <w:r>
              <w:rPr>
                <w:rFonts w:hint="eastAsia" w:cs="宋体" w:eastAsiaTheme="minorEastAsia"/>
                <w:i w:val="0"/>
                <w:iCs w:val="0"/>
                <w:color w:val="000000"/>
                <w:kern w:val="0"/>
                <w:sz w:val="21"/>
                <w:szCs w:val="21"/>
                <w:u w:val="none"/>
                <w:lang w:val="en-US" w:eastAsia="zh-CN" w:bidi="ar"/>
              </w:rPr>
              <w:t>临时用电、二次倒运及其他</w:t>
            </w:r>
          </w:p>
        </w:tc>
        <w:tc>
          <w:tcPr>
            <w:tcW w:w="87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0" w:firstLineChars="0"/>
              <w:jc w:val="both"/>
              <w:textAlignment w:val="center"/>
              <w:rPr>
                <w:rFonts w:hint="default" w:ascii="宋体" w:hAnsi="宋体" w:cs="宋体" w:eastAsiaTheme="minorEastAsia"/>
                <w:i w:val="0"/>
                <w:iCs w:val="0"/>
                <w:color w:val="000000"/>
                <w:kern w:val="0"/>
                <w:sz w:val="21"/>
                <w:szCs w:val="21"/>
                <w:u w:val="none"/>
                <w:lang w:val="en-US" w:eastAsia="zh-CN" w:bidi="ar"/>
              </w:rPr>
            </w:pPr>
            <w:r>
              <w:rPr>
                <w:rFonts w:hint="eastAsia" w:cs="宋体" w:eastAsiaTheme="minorEastAsia"/>
                <w:i w:val="0"/>
                <w:iCs w:val="0"/>
                <w:color w:val="000000"/>
                <w:kern w:val="0"/>
                <w:sz w:val="21"/>
                <w:szCs w:val="21"/>
                <w:u w:val="none"/>
                <w:lang w:val="en-US" w:eastAsia="zh-CN" w:bidi="ar"/>
              </w:rPr>
              <w:t>项</w:t>
            </w:r>
          </w:p>
        </w:tc>
        <w:tc>
          <w:tcPr>
            <w:tcW w:w="132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default" w:ascii="宋体" w:hAnsi="宋体" w:cs="宋体" w:eastAsiaTheme="minorEastAsia"/>
                <w:i w:val="0"/>
                <w:iCs w:val="0"/>
                <w:color w:val="000000"/>
                <w:kern w:val="0"/>
                <w:sz w:val="21"/>
                <w:szCs w:val="21"/>
                <w:u w:val="none"/>
                <w:lang w:val="en-US" w:eastAsia="zh-CN" w:bidi="ar"/>
              </w:rPr>
            </w:pPr>
            <w:r>
              <w:rPr>
                <w:rFonts w:hint="eastAsia" w:cs="宋体" w:eastAsiaTheme="minorEastAsia"/>
                <w:i w:val="0"/>
                <w:iCs w:val="0"/>
                <w:color w:val="000000"/>
                <w:kern w:val="0"/>
                <w:sz w:val="21"/>
                <w:szCs w:val="21"/>
                <w:u w:val="none"/>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4"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296" w:type="dxa"/>
            <w:gridSpan w:val="6"/>
            <w:tcBorders>
              <w:top w:val="single" w:color="000000" w:sz="4" w:space="0"/>
              <w:left w:val="single" w:color="000000" w:sz="8" w:space="0"/>
              <w:bottom w:val="single" w:color="000000" w:sz="8"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黑体" w:hAnsi="宋体" w:cs="黑体" w:eastAsiaTheme="minorEastAsia"/>
                <w:i w:val="0"/>
                <w:iCs w:val="0"/>
                <w:color w:val="000000"/>
                <w:sz w:val="21"/>
                <w:szCs w:val="21"/>
                <w:u w:val="none"/>
              </w:rPr>
            </w:pPr>
            <w:r>
              <w:rPr>
                <w:rFonts w:hint="eastAsia" w:ascii="黑体" w:hAnsi="宋体" w:cs="黑体" w:eastAsiaTheme="minorEastAsia"/>
                <w:i w:val="0"/>
                <w:iCs w:val="0"/>
                <w:color w:val="000000"/>
                <w:kern w:val="0"/>
                <w:sz w:val="21"/>
                <w:szCs w:val="21"/>
                <w:u w:val="none"/>
                <w:lang w:val="en-US" w:eastAsia="zh-CN" w:bidi="ar"/>
              </w:rPr>
              <w:t>合    计</w:t>
            </w:r>
          </w:p>
        </w:tc>
        <w:tc>
          <w:tcPr>
            <w:tcW w:w="1146" w:type="dxa"/>
            <w:tcBorders>
              <w:top w:val="single" w:color="000000" w:sz="4" w:space="0"/>
              <w:left w:val="single" w:color="000000" w:sz="4" w:space="0"/>
              <w:bottom w:val="single" w:color="000000" w:sz="8" w:space="0"/>
              <w:right w:val="single" w:color="000000" w:sz="4" w:space="0"/>
            </w:tcBorders>
            <w:shd w:val="clear" w:color="FFFFFF" w:fill="FFFFFF"/>
            <w:vAlign w:val="top"/>
          </w:tcPr>
          <w:p>
            <w:pPr>
              <w:keepNext w:val="0"/>
              <w:keepLines w:val="0"/>
              <w:widowControl/>
              <w:suppressLineNumbers w:val="0"/>
              <w:spacing w:line="240" w:lineRule="auto"/>
              <w:ind w:firstLine="420" w:firstLineChars="200"/>
              <w:jc w:val="both"/>
              <w:textAlignment w:val="center"/>
              <w:rPr>
                <w:rFonts w:hint="eastAsia" w:ascii="宋体" w:hAnsi="宋体" w:cs="宋体" w:eastAsiaTheme="minorEastAsia"/>
                <w:i w:val="0"/>
                <w:iCs w:val="0"/>
                <w:color w:val="000000"/>
                <w:sz w:val="21"/>
                <w:szCs w:val="21"/>
                <w:u w:val="none"/>
              </w:rPr>
            </w:pPr>
          </w:p>
        </w:tc>
        <w:tc>
          <w:tcPr>
            <w:tcW w:w="1313" w:type="dxa"/>
            <w:tcBorders>
              <w:top w:val="single" w:color="000000" w:sz="4" w:space="0"/>
              <w:left w:val="single" w:color="000000" w:sz="4" w:space="0"/>
              <w:bottom w:val="single" w:color="000000" w:sz="8" w:space="0"/>
              <w:right w:val="single" w:color="000000" w:sz="8" w:space="0"/>
            </w:tcBorders>
            <w:shd w:val="clear" w:color="FFFFFF" w:fill="FFFFFF"/>
            <w:vAlign w:val="top"/>
          </w:tcPr>
          <w:p>
            <w:pPr>
              <w:spacing w:line="240" w:lineRule="auto"/>
              <w:ind w:firstLine="420" w:firstLineChars="200"/>
              <w:jc w:val="both"/>
              <w:rPr>
                <w:rFonts w:hint="eastAsia" w:ascii="宋体" w:hAnsi="宋体" w:cs="宋体" w:eastAsiaTheme="minorEastAsia"/>
                <w:i w:val="0"/>
                <w:iCs w:val="0"/>
                <w:color w:val="000000"/>
                <w:sz w:val="21"/>
                <w:szCs w:val="21"/>
                <w:u w:val="none"/>
              </w:rPr>
            </w:pPr>
          </w:p>
        </w:tc>
      </w:tr>
    </w:tbl>
    <w:p>
      <w:pPr>
        <w:tabs>
          <w:tab w:val="left" w:pos="6105"/>
        </w:tabs>
        <w:spacing w:line="480" w:lineRule="exact"/>
        <w:ind w:left="0" w:leftChars="0" w:firstLine="482" w:firstLineChars="200"/>
        <w:rPr>
          <w:rFonts w:hint="default" w:ascii="黑体" w:hAnsi="黑体" w:cs="黑体" w:eastAsiaTheme="minorEastAsia"/>
          <w:b/>
          <w:bCs w:val="0"/>
          <w:sz w:val="24"/>
          <w:szCs w:val="24"/>
          <w:lang w:val="en-US" w:eastAsia="zh-CN"/>
        </w:rPr>
      </w:pPr>
      <w:r>
        <w:rPr>
          <w:rFonts w:hint="eastAsia" w:ascii="黑体" w:hAnsi="黑体" w:cs="黑体" w:eastAsiaTheme="minorEastAsia"/>
          <w:b/>
          <w:bCs w:val="0"/>
          <w:sz w:val="24"/>
          <w:szCs w:val="24"/>
          <w:lang w:val="en-US" w:eastAsia="zh-CN"/>
        </w:rPr>
        <w:t>备注：本项目涉及的管材、管件、阀门等均由采购人通过集采提供。</w:t>
      </w:r>
    </w:p>
    <w:p>
      <w:pPr>
        <w:pStyle w:val="30"/>
        <w:spacing w:before="0" w:beforeAutospacing="0" w:after="0" w:afterAutospacing="0" w:line="480" w:lineRule="exact"/>
        <w:ind w:left="63" w:right="63" w:firstLine="480" w:firstLineChars="200"/>
        <w:rPr>
          <w:rFonts w:eastAsiaTheme="minorEastAsia"/>
          <w:bCs/>
          <w:szCs w:val="24"/>
        </w:rPr>
      </w:pPr>
      <w:r>
        <w:rPr>
          <w:rFonts w:hint="eastAsia" w:ascii="Times New Roman" w:hAnsi="Times New Roman" w:eastAsiaTheme="minorEastAsia"/>
          <w:bCs/>
          <w:szCs w:val="24"/>
          <w:lang w:bidi="ar"/>
        </w:rPr>
        <w:t>供应商应仔细查阅、核对施工图纸和工程量清单，若施工图纸与工程量清单内容不一致或工程量清单内容表述与施工图纸存在差异，或工程量清单表述不清晰之处，或工程量清单有漏项，投标人应在投标答疑中提出。否则，视为认可工程量清单中已描述内容和虽未描述但在施工图纸中已表达的内容。并在报价中综合考虑以上因素，结算时工程量不予增加。</w:t>
      </w:r>
    </w:p>
    <w:p/>
    <w:p>
      <w:pPr>
        <w:spacing w:line="360" w:lineRule="auto"/>
        <w:jc w:val="center"/>
        <w:rPr>
          <w:rFonts w:hint="eastAsia" w:cs="宋体"/>
          <w:b/>
          <w:sz w:val="32"/>
          <w:szCs w:val="32"/>
          <w:lang w:bidi="ar"/>
        </w:rPr>
      </w:pPr>
      <w:r>
        <w:rPr>
          <w:rFonts w:hint="eastAsia" w:cs="宋体"/>
          <w:b/>
          <w:sz w:val="32"/>
          <w:szCs w:val="32"/>
          <w:lang w:bidi="ar"/>
        </w:rPr>
        <w:t>图纸（另附）</w:t>
      </w:r>
    </w:p>
    <w:p>
      <w:pPr>
        <w:pStyle w:val="2"/>
      </w:pPr>
    </w:p>
    <w:p/>
    <w:p>
      <w:pPr>
        <w:pStyle w:val="16"/>
        <w:ind w:left="420" w:firstLine="240"/>
      </w:pPr>
    </w:p>
    <w:p>
      <w:pPr>
        <w:pStyle w:val="16"/>
        <w:ind w:left="420" w:firstLine="240"/>
      </w:pPr>
    </w:p>
    <w:p>
      <w:pPr>
        <w:pStyle w:val="16"/>
        <w:ind w:left="420" w:firstLine="240"/>
      </w:pPr>
    </w:p>
    <w:p>
      <w:pPr>
        <w:pStyle w:val="16"/>
        <w:ind w:left="420" w:firstLine="240"/>
      </w:pPr>
    </w:p>
    <w:p>
      <w:pPr>
        <w:pStyle w:val="16"/>
        <w:ind w:left="0" w:leftChars="0" w:firstLine="0" w:firstLineChars="0"/>
      </w:pPr>
    </w:p>
    <w:p>
      <w:pPr>
        <w:pStyle w:val="16"/>
        <w:ind w:left="420" w:firstLine="240"/>
      </w:pPr>
    </w:p>
    <w:p>
      <w:pPr>
        <w:rPr>
          <w:rFonts w:hint="eastAsia"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br w:type="page"/>
      </w:r>
    </w:p>
    <w:p>
      <w:pPr>
        <w:pStyle w:val="3"/>
        <w:spacing w:before="120" w:beforeLines="50" w:after="120" w:afterLines="50"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第六章  响应文件格式</w:t>
      </w:r>
      <w:bookmarkEnd w:id="1118"/>
    </w:p>
    <w:bookmarkEnd w:id="1119"/>
    <w:p>
      <w:pPr>
        <w:spacing w:line="360" w:lineRule="auto"/>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2"/>
      </w:pPr>
    </w:p>
    <w:tbl>
      <w:tblPr>
        <w:tblStyle w:val="34"/>
        <w:tblW w:w="0" w:type="auto"/>
        <w:tblInd w:w="7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37" w:type="dxa"/>
            <w:vAlign w:val="center"/>
          </w:tcPr>
          <w:p>
            <w:pPr>
              <w:jc w:val="center"/>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szCs w:val="28"/>
                <w14:textFill>
                  <w14:solidFill>
                    <w14:schemeClr w14:val="tx1"/>
                  </w14:solidFill>
                </w14:textFill>
              </w:rPr>
              <w:t>正本/副本</w:t>
            </w: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ind w:firstLine="2168" w:firstLineChars="600"/>
        <w:rPr>
          <w:rFonts w:asciiTheme="minorEastAsia" w:hAnsiTheme="minorEastAsia" w:eastAsiaTheme="minorEastAsia"/>
          <w:b/>
          <w:color w:val="000000" w:themeColor="text1"/>
          <w:sz w:val="36"/>
          <w14:textFill>
            <w14:solidFill>
              <w14:schemeClr w14:val="tx1"/>
            </w14:solidFill>
          </w14:textFill>
        </w:rPr>
      </w:pPr>
      <w:r>
        <w:rPr>
          <w:rFonts w:hint="eastAsia" w:asciiTheme="minorEastAsia" w:hAnsiTheme="minorEastAsia" w:eastAsiaTheme="minorEastAsia"/>
          <w:b/>
          <w:color w:val="000000" w:themeColor="text1"/>
          <w:sz w:val="36"/>
          <w:szCs w:val="36"/>
          <w:u w:val="single"/>
          <w14:textFill>
            <w14:solidFill>
              <w14:schemeClr w14:val="tx1"/>
            </w14:solidFill>
          </w14:textFill>
        </w:rPr>
        <w:t xml:space="preserve">                           </w:t>
      </w:r>
      <w:r>
        <w:rPr>
          <w:rFonts w:hint="eastAsia" w:asciiTheme="minorEastAsia" w:hAnsiTheme="minorEastAsia" w:eastAsiaTheme="minorEastAsia"/>
          <w:b/>
          <w:color w:val="000000" w:themeColor="text1"/>
          <w:sz w:val="36"/>
          <w14:textFill>
            <w14:solidFill>
              <w14:schemeClr w14:val="tx1"/>
            </w14:solidFill>
          </w14:textFill>
        </w:rPr>
        <w:t>项目</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jc w:val="center"/>
        <w:rPr>
          <w:rFonts w:asciiTheme="minorEastAsia" w:hAnsiTheme="minorEastAsia" w:eastAsiaTheme="minorEastAsia"/>
          <w:b/>
          <w:color w:val="000000" w:themeColor="text1"/>
          <w:sz w:val="84"/>
          <w14:textFill>
            <w14:solidFill>
              <w14:schemeClr w14:val="tx1"/>
            </w14:solidFill>
          </w14:textFill>
        </w:rPr>
      </w:pPr>
      <w:r>
        <w:rPr>
          <w:rFonts w:hint="eastAsia" w:asciiTheme="minorEastAsia" w:hAnsiTheme="minorEastAsia" w:eastAsiaTheme="minorEastAsia"/>
          <w:b/>
          <w:color w:val="000000" w:themeColor="text1"/>
          <w:sz w:val="84"/>
          <w14:textFill>
            <w14:solidFill>
              <w14:schemeClr w14:val="tx1"/>
            </w14:solidFill>
          </w14:textFill>
        </w:rPr>
        <w:t>响应文件</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after="120" w:afterLines="50" w:line="360" w:lineRule="auto"/>
        <w:ind w:firstLine="1687" w:firstLineChars="7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项目编号：</w:t>
      </w:r>
      <w:r>
        <w:rPr>
          <w:rFonts w:hint="eastAsia" w:asciiTheme="minorEastAsia" w:hAnsiTheme="minorEastAsia" w:eastAsiaTheme="minorEastAsia"/>
          <w:b/>
          <w:color w:val="000000" w:themeColor="text1"/>
          <w:u w:val="single"/>
          <w14:textFill>
            <w14:solidFill>
              <w14:schemeClr w14:val="tx1"/>
            </w14:solidFill>
          </w14:textFill>
        </w:rPr>
        <w:t xml:space="preserve">                        </w:t>
      </w:r>
    </w:p>
    <w:p>
      <w:pPr>
        <w:spacing w:after="120" w:afterLines="50" w:line="360" w:lineRule="auto"/>
        <w:ind w:firstLine="1687" w:firstLineChars="7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供应商名称：</w:t>
      </w:r>
      <w:r>
        <w:rPr>
          <w:rFonts w:hint="eastAsia" w:asciiTheme="minorEastAsia" w:hAnsiTheme="minorEastAsia" w:eastAsiaTheme="minorEastAsia"/>
          <w:b/>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（盖章） </w:t>
      </w:r>
      <w:r>
        <w:rPr>
          <w:rFonts w:hint="eastAsia" w:asciiTheme="minorEastAsia" w:hAnsiTheme="minorEastAsia" w:eastAsiaTheme="minorEastAsia"/>
          <w:b/>
          <w:color w:val="000000" w:themeColor="text1"/>
          <w14:textFill>
            <w14:solidFill>
              <w14:schemeClr w14:val="tx1"/>
            </w14:solidFill>
          </w14:textFill>
        </w:rPr>
        <w:t xml:space="preserve">  </w:t>
      </w:r>
    </w:p>
    <w:p>
      <w:pPr>
        <w:spacing w:after="120" w:afterLines="50" w:line="360" w:lineRule="auto"/>
        <w:ind w:firstLine="1687" w:firstLineChars="7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日    期：</w:t>
      </w:r>
      <w:r>
        <w:rPr>
          <w:rFonts w:hint="eastAsia" w:asciiTheme="minorEastAsia" w:hAnsiTheme="minorEastAsia" w:eastAsiaTheme="minorEastAsia"/>
          <w:b/>
          <w:color w:val="000000" w:themeColor="text1"/>
          <w:u w:val="single"/>
          <w14:textFill>
            <w14:solidFill>
              <w14:schemeClr w14:val="tx1"/>
            </w14:solidFill>
          </w14:textFill>
        </w:rPr>
        <w:t xml:space="preserve">       </w:t>
      </w:r>
      <w:r>
        <w:rPr>
          <w:rFonts w:hint="eastAsia" w:asciiTheme="minorEastAsia" w:hAnsiTheme="minorEastAsia" w:eastAsiaTheme="minorEastAsia"/>
          <w:b/>
          <w:color w:val="000000" w:themeColor="text1"/>
          <w14:textFill>
            <w14:solidFill>
              <w14:schemeClr w14:val="tx1"/>
            </w14:solidFill>
          </w14:textFill>
        </w:rPr>
        <w:t>年</w:t>
      </w:r>
      <w:r>
        <w:rPr>
          <w:rFonts w:hint="eastAsia" w:asciiTheme="minorEastAsia" w:hAnsiTheme="minorEastAsia" w:eastAsiaTheme="minorEastAsia"/>
          <w:b/>
          <w:color w:val="000000" w:themeColor="text1"/>
          <w:u w:val="single"/>
          <w14:textFill>
            <w14:solidFill>
              <w14:schemeClr w14:val="tx1"/>
            </w14:solidFill>
          </w14:textFill>
        </w:rPr>
        <w:t xml:space="preserve">     </w:t>
      </w:r>
      <w:r>
        <w:rPr>
          <w:rFonts w:hint="eastAsia" w:asciiTheme="minorEastAsia" w:hAnsiTheme="minorEastAsia" w:eastAsiaTheme="minorEastAsia"/>
          <w:b/>
          <w:color w:val="000000" w:themeColor="text1"/>
          <w14:textFill>
            <w14:solidFill>
              <w14:schemeClr w14:val="tx1"/>
            </w14:solidFill>
          </w14:textFill>
        </w:rPr>
        <w:t>月</w:t>
      </w:r>
      <w:r>
        <w:rPr>
          <w:rFonts w:hint="eastAsia" w:asciiTheme="minorEastAsia" w:hAnsiTheme="minorEastAsia" w:eastAsiaTheme="minorEastAsia"/>
          <w:b/>
          <w:color w:val="000000" w:themeColor="text1"/>
          <w:u w:val="single"/>
          <w14:textFill>
            <w14:solidFill>
              <w14:schemeClr w14:val="tx1"/>
            </w14:solidFill>
          </w14:textFill>
        </w:rPr>
        <w:t xml:space="preserve">     </w:t>
      </w:r>
      <w:r>
        <w:rPr>
          <w:rFonts w:hint="eastAsia" w:asciiTheme="minorEastAsia" w:hAnsiTheme="minorEastAsia" w:eastAsiaTheme="minorEastAsia"/>
          <w:b/>
          <w:color w:val="000000" w:themeColor="text1"/>
          <w14:textFill>
            <w14:solidFill>
              <w14:schemeClr w14:val="tx1"/>
            </w14:solidFill>
          </w14:textFill>
        </w:rPr>
        <w:t>日</w:t>
      </w:r>
    </w:p>
    <w:p>
      <w:pPr>
        <w:spacing w:after="120" w:afterLines="50" w:line="360" w:lineRule="auto"/>
        <w:ind w:firstLine="1687" w:firstLineChars="700"/>
        <w:rPr>
          <w:rFonts w:asciiTheme="minorEastAsia" w:hAnsiTheme="minorEastAsia" w:eastAsiaTheme="minorEastAsia"/>
          <w:b/>
          <w:color w:val="000000" w:themeColor="text1"/>
          <w14:textFill>
            <w14:solidFill>
              <w14:schemeClr w14:val="tx1"/>
            </w14:solidFill>
          </w14:textFill>
        </w:rPr>
      </w:pPr>
    </w:p>
    <w:p>
      <w:pPr>
        <w:pStyle w:val="2"/>
        <w:rPr>
          <w:rFonts w:asciiTheme="minorEastAsia" w:hAnsiTheme="minorEastAsia" w:eastAsiaTheme="minorEastAsia"/>
          <w:b/>
          <w:color w:val="000000" w:themeColor="text1"/>
          <w14:textFill>
            <w14:solidFill>
              <w14:schemeClr w14:val="tx1"/>
            </w14:solidFill>
          </w14:textFill>
        </w:rPr>
      </w:pPr>
    </w:p>
    <w:p>
      <w:pPr>
        <w:rPr>
          <w:rFonts w:asciiTheme="minorEastAsia" w:hAnsiTheme="minorEastAsia" w:eastAsiaTheme="minorEastAsia"/>
          <w:b/>
          <w:color w:val="000000" w:themeColor="text1"/>
          <w14:textFill>
            <w14:solidFill>
              <w14:schemeClr w14:val="tx1"/>
            </w14:solidFill>
          </w14:textFill>
        </w:rPr>
      </w:pPr>
    </w:p>
    <w:p>
      <w:pPr>
        <w:pStyle w:val="2"/>
      </w:pPr>
    </w:p>
    <w:p>
      <w:pPr>
        <w:pStyle w:val="3"/>
        <w:rPr>
          <w:rFonts w:asciiTheme="minorEastAsia" w:hAnsiTheme="minorEastAsia" w:eastAsiaTheme="minorEastAsia"/>
          <w:color w:val="000000" w:themeColor="text1"/>
          <w14:textFill>
            <w14:solidFill>
              <w14:schemeClr w14:val="tx1"/>
            </w14:solidFill>
          </w14:textFill>
        </w:rPr>
      </w:pPr>
      <w:bookmarkStart w:id="1122" w:name="_Toc188638807"/>
      <w:r>
        <w:rPr>
          <w:rFonts w:hint="eastAsia" w:asciiTheme="minorEastAsia" w:hAnsiTheme="minorEastAsia" w:eastAsiaTheme="minorEastAsia"/>
          <w:color w:val="000000" w:themeColor="text1"/>
          <w14:textFill>
            <w14:solidFill>
              <w14:schemeClr w14:val="tx1"/>
            </w14:solidFill>
          </w14:textFill>
        </w:rPr>
        <w:t>附件1：报价函</w:t>
      </w:r>
      <w:bookmarkEnd w:id="1122"/>
    </w:p>
    <w:p>
      <w:pPr>
        <w:spacing w:before="72" w:beforeLines="30"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报 价 函</w:t>
      </w:r>
    </w:p>
    <w:p>
      <w:pPr>
        <w:spacing w:line="360" w:lineRule="auto"/>
        <w:rPr>
          <w:rFonts w:hint="eastAsia" w:asciiTheme="minorEastAsia" w:hAnsiTheme="minorEastAsia" w:eastAsiaTheme="minorEastAsia"/>
          <w:i/>
          <w:color w:val="000000" w:themeColor="text1"/>
          <w:u w:val="single"/>
          <w14:textFill>
            <w14:solidFill>
              <w14:schemeClr w14:val="tx1"/>
            </w14:solidFill>
          </w14:textFill>
        </w:rPr>
      </w:pPr>
      <w:bookmarkStart w:id="1123" w:name="_Toc384915849"/>
      <w:bookmarkStart w:id="1124" w:name="_Toc385580319"/>
      <w:bookmarkStart w:id="1125" w:name="_Toc246996358"/>
      <w:bookmarkStart w:id="1126" w:name="_Toc247085876"/>
      <w:bookmarkStart w:id="1127" w:name="_Toc144974859"/>
      <w:bookmarkStart w:id="1128" w:name="_Toc152042579"/>
      <w:bookmarkStart w:id="1129" w:name="_Toc246997101"/>
      <w:bookmarkStart w:id="1130" w:name="_Toc179632810"/>
      <w:bookmarkStart w:id="1131" w:name="_Toc152045790"/>
      <w:bookmarkStart w:id="1132" w:name="_Toc384743432"/>
      <w:r>
        <w:rPr>
          <w:rFonts w:hint="eastAsia" w:asciiTheme="minorEastAsia" w:hAnsiTheme="minorEastAsia" w:eastAsiaTheme="minorEastAsia"/>
          <w:color w:val="000000" w:themeColor="text1"/>
          <w14:textFill>
            <w14:solidFill>
              <w14:schemeClr w14:val="tx1"/>
            </w14:solidFill>
          </w14:textFill>
        </w:rPr>
        <w:t>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i w:val="0"/>
          <w:iCs/>
          <w:color w:val="000000" w:themeColor="text1"/>
          <w:u w:val="single"/>
          <w14:textFill>
            <w14:solidFill>
              <w14:schemeClr w14:val="tx1"/>
            </w14:solidFill>
          </w14:textFill>
        </w:rPr>
        <w:t xml:space="preserve">（采购人）   </w:t>
      </w:r>
      <w:r>
        <w:rPr>
          <w:rFonts w:hint="eastAsia" w:asciiTheme="minorEastAsia" w:hAnsiTheme="minorEastAsia" w:eastAsiaTheme="minorEastAsia"/>
          <w:i/>
          <w:color w:val="000000" w:themeColor="text1"/>
          <w:u w:val="single"/>
          <w14:textFill>
            <w14:solidFill>
              <w14:schemeClr w14:val="tx1"/>
            </w14:solidFill>
          </w14:textFill>
        </w:rPr>
        <w:t xml:space="preserve"> </w:t>
      </w:r>
    </w:p>
    <w:p>
      <w:pPr>
        <w:spacing w:line="360" w:lineRule="auto"/>
        <w:ind w:firstLine="0"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iCs/>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none"/>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供应商全称)授权_______(全权代表姓名)_____(职务、职称)为全权代表参加贵方组织的____________ (项目名称)的询比并按照询比文件的要求进行报价，项目编号为：____________。为此：</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我方已详细审查全部询比文件。我们完全理解并同意放弃对这方面有不明及误解的权力。我方愿意以（大写）____________元（小写）____________的最终报价按询比文件规定的条件和要求提供相应的服务，并承担相关的责任。</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2、提供报价须知规定的全部报价文件正本一份，副本二份，电子版一份； </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3、保证遵守询比文件中的有关规定。</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4、保证忠实地执行双方所签的合同，并承担合同规定的责任义务。</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5、愿意向贵方提供任何与该项询比有关的数据、情况和技术资料。</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6、本报价自报价截止日期起180天内有效。</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7、与本询比有关的一切往来通讯请寄：</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地址：____________________________________________________</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邮编：____________　电话：____________　传真：____________</w:t>
      </w:r>
    </w:p>
    <w:bookmarkEnd w:id="1123"/>
    <w:bookmarkEnd w:id="1124"/>
    <w:bookmarkEnd w:id="1125"/>
    <w:bookmarkEnd w:id="1126"/>
    <w:bookmarkEnd w:id="1127"/>
    <w:bookmarkEnd w:id="1128"/>
    <w:bookmarkEnd w:id="1129"/>
    <w:bookmarkEnd w:id="1130"/>
    <w:bookmarkEnd w:id="1131"/>
    <w:bookmarkEnd w:id="1132"/>
    <w:p>
      <w:pPr>
        <w:spacing w:before="100" w:beforeAutospacing="1" w:after="100" w:afterAutospacing="1" w:line="400" w:lineRule="exact"/>
        <w:ind w:firstLine="720" w:firstLineChars="300"/>
        <w:rPr>
          <w:rFonts w:asciiTheme="minorEastAsia" w:hAnsiTheme="minorEastAsia" w:eastAsiaTheme="minorEastAsia"/>
          <w:color w:val="000000" w:themeColor="text1"/>
          <w14:textFill>
            <w14:solidFill>
              <w14:schemeClr w14:val="tx1"/>
            </w14:solidFill>
          </w14:textFill>
        </w:rPr>
      </w:pPr>
    </w:p>
    <w:p>
      <w:pPr>
        <w:spacing w:before="100" w:beforeAutospacing="1" w:after="100" w:afterAutospacing="1" w:line="400" w:lineRule="exact"/>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w:t>
      </w:r>
      <w:r>
        <w:rPr>
          <w:rFonts w:hint="eastAsia" w:asciiTheme="minorEastAsia" w:hAnsiTheme="minorEastAsia" w:eastAsiaTheme="minorEastAsia"/>
          <w:color w:val="000000" w:themeColor="text1"/>
          <w:u w:val="single"/>
          <w14:textFill>
            <w14:solidFill>
              <w14:schemeClr w14:val="tx1"/>
            </w14:solidFill>
          </w14:textFill>
        </w:rPr>
        <w:t xml:space="preserve">                 (盖章)</w:t>
      </w:r>
    </w:p>
    <w:p>
      <w:pPr>
        <w:spacing w:before="100" w:beforeAutospacing="1" w:after="100" w:afterAutospacing="1" w:line="400" w:lineRule="exact"/>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法定代表人或其委托代理人：</w:t>
      </w:r>
      <w:r>
        <w:rPr>
          <w:rFonts w:hint="eastAsia" w:asciiTheme="minorEastAsia" w:hAnsiTheme="minorEastAsia" w:eastAsiaTheme="minorEastAsia"/>
          <w:color w:val="000000" w:themeColor="text1"/>
          <w:u w:val="single"/>
          <w14:textFill>
            <w14:solidFill>
              <w14:schemeClr w14:val="tx1"/>
            </w14:solidFill>
          </w14:textFill>
        </w:rPr>
        <w:t xml:space="preserve">           (签字或盖章)</w:t>
      </w:r>
    </w:p>
    <w:p>
      <w:pPr>
        <w:spacing w:before="100" w:beforeAutospacing="1" w:after="100" w:afterAutospacing="1" w:line="400" w:lineRule="exact"/>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年    月     日</w:t>
      </w:r>
      <w:r>
        <w:rPr>
          <w:rFonts w:hint="eastAsia" w:asciiTheme="minorEastAsia" w:hAnsiTheme="minorEastAsia" w:eastAsiaTheme="minorEastAsia"/>
          <w:color w:val="000000" w:themeColor="text1"/>
          <w14:textFill>
            <w14:solidFill>
              <w14:schemeClr w14:val="tx1"/>
            </w14:solidFill>
          </w14:textFill>
        </w:rPr>
        <w:br w:type="page"/>
      </w:r>
    </w:p>
    <w:p>
      <w:pPr>
        <w:pStyle w:val="3"/>
        <w:rPr>
          <w:rFonts w:asciiTheme="minorEastAsia" w:hAnsiTheme="minorEastAsia" w:eastAsiaTheme="minorEastAsia"/>
          <w:color w:val="000000" w:themeColor="text1"/>
          <w14:textFill>
            <w14:solidFill>
              <w14:schemeClr w14:val="tx1"/>
            </w14:solidFill>
          </w14:textFill>
        </w:rPr>
      </w:pPr>
      <w:bookmarkStart w:id="1133" w:name="_Toc188638808"/>
      <w:r>
        <w:rPr>
          <w:rFonts w:hint="eastAsia" w:asciiTheme="minorEastAsia" w:hAnsiTheme="minorEastAsia" w:eastAsiaTheme="minorEastAsia"/>
          <w:color w:val="000000" w:themeColor="text1"/>
          <w14:textFill>
            <w14:solidFill>
              <w14:schemeClr w14:val="tx1"/>
            </w14:solidFill>
          </w14:textFill>
        </w:rPr>
        <w:t>附件2：法定代表人身份证明、授权委托书</w:t>
      </w:r>
      <w:bookmarkEnd w:id="1133"/>
    </w:p>
    <w:p>
      <w:pPr>
        <w:spacing w:before="240" w:beforeLines="100" w:line="360" w:lineRule="auto"/>
        <w:jc w:val="center"/>
        <w:rPr>
          <w:rFonts w:asciiTheme="minorEastAsia" w:hAnsiTheme="minorEastAsia" w:eastAsiaTheme="minorEastAsia"/>
          <w:b/>
          <w:color w:val="000000" w:themeColor="text1"/>
          <w:sz w:val="32"/>
          <w:szCs w:val="32"/>
          <w14:textFill>
            <w14:solidFill>
              <w14:schemeClr w14:val="tx1"/>
            </w14:solidFill>
          </w14:textFill>
        </w:rPr>
      </w:pPr>
      <w:bookmarkStart w:id="1134" w:name="_Toc26187"/>
      <w:bookmarkStart w:id="1135" w:name="_Toc20557"/>
      <w:bookmarkStart w:id="1136" w:name="_Toc6566"/>
      <w:bookmarkStart w:id="1137" w:name="_Toc12057"/>
      <w:r>
        <w:rPr>
          <w:rFonts w:hint="eastAsia" w:asciiTheme="minorEastAsia" w:hAnsiTheme="minorEastAsia" w:eastAsiaTheme="minorEastAsia"/>
          <w:b/>
          <w:color w:val="000000" w:themeColor="text1"/>
          <w:sz w:val="32"/>
          <w:szCs w:val="32"/>
          <w14:textFill>
            <w14:solidFill>
              <w14:schemeClr w14:val="tx1"/>
            </w14:solidFill>
          </w14:textFill>
        </w:rPr>
        <w:t>法定代表人身份证明</w:t>
      </w:r>
      <w:bookmarkEnd w:id="1134"/>
      <w:bookmarkEnd w:id="1135"/>
      <w:bookmarkEnd w:id="1136"/>
      <w:bookmarkEnd w:id="1137"/>
    </w:p>
    <w:p>
      <w:pPr>
        <w:spacing w:line="360" w:lineRule="auto"/>
        <w:ind w:firstLine="480"/>
        <w:rPr>
          <w:rFonts w:asciiTheme="minorEastAsia" w:hAnsiTheme="minorEastAsia" w:eastAsiaTheme="minorEastAsia"/>
          <w:bCs/>
          <w:iCs/>
          <w:color w:val="000000" w:themeColor="text1"/>
          <w:u w:val="single"/>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供应商名称：</w:t>
      </w:r>
      <w:r>
        <w:rPr>
          <w:rFonts w:hint="eastAsia" w:asciiTheme="minorEastAsia" w:hAnsiTheme="minorEastAsia" w:eastAsiaTheme="minorEastAsia"/>
          <w:bCs/>
          <w:iCs/>
          <w:color w:val="000000" w:themeColor="text1"/>
          <w:u w:val="single"/>
          <w14:textFill>
            <w14:solidFill>
              <w14:schemeClr w14:val="tx1"/>
            </w14:solidFill>
          </w14:textFill>
        </w:rPr>
        <w:t xml:space="preserve">                    </w:t>
      </w:r>
    </w:p>
    <w:p>
      <w:pPr>
        <w:spacing w:line="360" w:lineRule="auto"/>
        <w:ind w:firstLine="480"/>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单位性质：</w:t>
      </w:r>
      <w:r>
        <w:rPr>
          <w:rFonts w:hint="eastAsia" w:asciiTheme="minorEastAsia" w:hAnsiTheme="minorEastAsia" w:eastAsiaTheme="minorEastAsia"/>
          <w:bCs/>
          <w:iCs/>
          <w:color w:val="000000" w:themeColor="text1"/>
          <w:u w:val="single"/>
          <w14:textFill>
            <w14:solidFill>
              <w14:schemeClr w14:val="tx1"/>
            </w14:solidFill>
          </w14:textFill>
        </w:rPr>
        <w:t xml:space="preserve">                      </w:t>
      </w:r>
    </w:p>
    <w:p>
      <w:pPr>
        <w:spacing w:line="360" w:lineRule="auto"/>
        <w:ind w:firstLine="480"/>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地址：</w:t>
      </w:r>
      <w:r>
        <w:rPr>
          <w:rFonts w:hint="eastAsia" w:asciiTheme="minorEastAsia" w:hAnsiTheme="minorEastAsia" w:eastAsiaTheme="minorEastAsia"/>
          <w:bCs/>
          <w:iCs/>
          <w:color w:val="000000" w:themeColor="text1"/>
          <w:u w:val="single"/>
          <w14:textFill>
            <w14:solidFill>
              <w14:schemeClr w14:val="tx1"/>
            </w14:solidFill>
          </w14:textFill>
        </w:rPr>
        <w:t xml:space="preserve">                          </w:t>
      </w:r>
    </w:p>
    <w:p>
      <w:pPr>
        <w:spacing w:line="360" w:lineRule="auto"/>
        <w:ind w:firstLine="480"/>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成立时间：</w:t>
      </w:r>
      <w:r>
        <w:rPr>
          <w:rFonts w:hint="eastAsia" w:asciiTheme="minorEastAsia" w:hAnsiTheme="minorEastAsia" w:eastAsiaTheme="minorEastAsia"/>
          <w:bCs/>
          <w:iCs/>
          <w:color w:val="000000" w:themeColor="text1"/>
          <w:u w:val="single"/>
          <w14:textFill>
            <w14:solidFill>
              <w14:schemeClr w14:val="tx1"/>
            </w14:solidFill>
          </w14:textFill>
        </w:rPr>
        <w:t xml:space="preserve">       </w:t>
      </w:r>
      <w:r>
        <w:rPr>
          <w:rFonts w:hint="eastAsia" w:asciiTheme="minorEastAsia" w:hAnsiTheme="minorEastAsia" w:eastAsiaTheme="minorEastAsia"/>
          <w:bCs/>
          <w:iCs/>
          <w:color w:val="000000" w:themeColor="text1"/>
          <w14:textFill>
            <w14:solidFill>
              <w14:schemeClr w14:val="tx1"/>
            </w14:solidFill>
          </w14:textFill>
        </w:rPr>
        <w:t>年</w:t>
      </w:r>
      <w:r>
        <w:rPr>
          <w:rFonts w:hint="eastAsia" w:asciiTheme="minorEastAsia" w:hAnsiTheme="minorEastAsia" w:eastAsiaTheme="minorEastAsia"/>
          <w:bCs/>
          <w:iCs/>
          <w:color w:val="000000" w:themeColor="text1"/>
          <w:u w:val="single"/>
          <w14:textFill>
            <w14:solidFill>
              <w14:schemeClr w14:val="tx1"/>
            </w14:solidFill>
          </w14:textFill>
        </w:rPr>
        <w:t xml:space="preserve">    </w:t>
      </w:r>
      <w:r>
        <w:rPr>
          <w:rFonts w:hint="eastAsia" w:asciiTheme="minorEastAsia" w:hAnsiTheme="minorEastAsia" w:eastAsiaTheme="minorEastAsia"/>
          <w:bCs/>
          <w:iCs/>
          <w:color w:val="000000" w:themeColor="text1"/>
          <w14:textFill>
            <w14:solidFill>
              <w14:schemeClr w14:val="tx1"/>
            </w14:solidFill>
          </w14:textFill>
        </w:rPr>
        <w:t>月</w:t>
      </w:r>
      <w:r>
        <w:rPr>
          <w:rFonts w:hint="eastAsia" w:asciiTheme="minorEastAsia" w:hAnsiTheme="minorEastAsia" w:eastAsiaTheme="minorEastAsia"/>
          <w:bCs/>
          <w:iCs/>
          <w:color w:val="000000" w:themeColor="text1"/>
          <w:u w:val="single"/>
          <w14:textFill>
            <w14:solidFill>
              <w14:schemeClr w14:val="tx1"/>
            </w14:solidFill>
          </w14:textFill>
        </w:rPr>
        <w:t xml:space="preserve">    </w:t>
      </w:r>
      <w:r>
        <w:rPr>
          <w:rFonts w:hint="eastAsia" w:asciiTheme="minorEastAsia" w:hAnsiTheme="minorEastAsia" w:eastAsiaTheme="minorEastAsia"/>
          <w:bCs/>
          <w:iCs/>
          <w:color w:val="000000" w:themeColor="text1"/>
          <w14:textFill>
            <w14:solidFill>
              <w14:schemeClr w14:val="tx1"/>
            </w14:solidFill>
          </w14:textFill>
        </w:rPr>
        <w:t>日</w:t>
      </w:r>
    </w:p>
    <w:p>
      <w:pPr>
        <w:spacing w:line="360" w:lineRule="auto"/>
        <w:ind w:firstLine="480"/>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经营期限：</w:t>
      </w:r>
      <w:r>
        <w:rPr>
          <w:rFonts w:hint="eastAsia" w:asciiTheme="minorEastAsia" w:hAnsiTheme="minorEastAsia" w:eastAsiaTheme="minorEastAsia"/>
          <w:bCs/>
          <w:iCs/>
          <w:color w:val="000000" w:themeColor="text1"/>
          <w:u w:val="single"/>
          <w14:textFill>
            <w14:solidFill>
              <w14:schemeClr w14:val="tx1"/>
            </w14:solidFill>
          </w14:textFill>
        </w:rPr>
        <w:t xml:space="preserve">                      </w:t>
      </w:r>
    </w:p>
    <w:p>
      <w:pPr>
        <w:spacing w:line="360" w:lineRule="auto"/>
        <w:ind w:firstLine="480"/>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姓名：</w:t>
      </w:r>
      <w:r>
        <w:rPr>
          <w:rFonts w:hint="eastAsia" w:asciiTheme="minorEastAsia" w:hAnsiTheme="minorEastAsia" w:eastAsiaTheme="minorEastAsia"/>
          <w:bCs/>
          <w:iCs/>
          <w:color w:val="000000" w:themeColor="text1"/>
          <w:u w:val="single"/>
          <w14:textFill>
            <w14:solidFill>
              <w14:schemeClr w14:val="tx1"/>
            </w14:solidFill>
          </w14:textFill>
        </w:rPr>
        <w:t xml:space="preserve">       </w:t>
      </w:r>
      <w:r>
        <w:rPr>
          <w:rFonts w:hint="eastAsia" w:asciiTheme="minorEastAsia" w:hAnsiTheme="minorEastAsia" w:eastAsiaTheme="minorEastAsia"/>
          <w:bCs/>
          <w:iCs/>
          <w:color w:val="000000" w:themeColor="text1"/>
          <w14:textFill>
            <w14:solidFill>
              <w14:schemeClr w14:val="tx1"/>
            </w14:solidFill>
          </w14:textFill>
        </w:rPr>
        <w:t xml:space="preserve"> 性别：</w:t>
      </w:r>
      <w:r>
        <w:rPr>
          <w:rFonts w:hint="eastAsia" w:asciiTheme="minorEastAsia" w:hAnsiTheme="minorEastAsia" w:eastAsiaTheme="minorEastAsia"/>
          <w:bCs/>
          <w:iCs/>
          <w:color w:val="000000" w:themeColor="text1"/>
          <w:u w:val="single"/>
          <w14:textFill>
            <w14:solidFill>
              <w14:schemeClr w14:val="tx1"/>
            </w14:solidFill>
          </w14:textFill>
        </w:rPr>
        <w:t xml:space="preserve">       </w:t>
      </w:r>
      <w:r>
        <w:rPr>
          <w:rFonts w:hint="eastAsia" w:asciiTheme="minorEastAsia" w:hAnsiTheme="minorEastAsia" w:eastAsiaTheme="minorEastAsia"/>
          <w:bCs/>
          <w:iCs/>
          <w:color w:val="000000" w:themeColor="text1"/>
          <w14:textFill>
            <w14:solidFill>
              <w14:schemeClr w14:val="tx1"/>
            </w14:solidFill>
          </w14:textFill>
        </w:rPr>
        <w:t xml:space="preserve"> 年龄：</w:t>
      </w:r>
      <w:r>
        <w:rPr>
          <w:rFonts w:hint="eastAsia" w:asciiTheme="minorEastAsia" w:hAnsiTheme="minorEastAsia" w:eastAsiaTheme="minorEastAsia"/>
          <w:bCs/>
          <w:iCs/>
          <w:color w:val="000000" w:themeColor="text1"/>
          <w:u w:val="single"/>
          <w14:textFill>
            <w14:solidFill>
              <w14:schemeClr w14:val="tx1"/>
            </w14:solidFill>
          </w14:textFill>
        </w:rPr>
        <w:t xml:space="preserve">       </w:t>
      </w:r>
      <w:r>
        <w:rPr>
          <w:rFonts w:hint="eastAsia" w:asciiTheme="minorEastAsia" w:hAnsiTheme="minorEastAsia" w:eastAsiaTheme="minorEastAsia"/>
          <w:bCs/>
          <w:iCs/>
          <w:color w:val="000000" w:themeColor="text1"/>
          <w14:textFill>
            <w14:solidFill>
              <w14:schemeClr w14:val="tx1"/>
            </w14:solidFill>
          </w14:textFill>
        </w:rPr>
        <w:t xml:space="preserve"> 职务：</w:t>
      </w:r>
      <w:r>
        <w:rPr>
          <w:rFonts w:hint="eastAsia" w:asciiTheme="minorEastAsia" w:hAnsiTheme="minorEastAsia" w:eastAsiaTheme="minorEastAsia"/>
          <w:bCs/>
          <w:iCs/>
          <w:color w:val="000000" w:themeColor="text1"/>
          <w:u w:val="single"/>
          <w14:textFill>
            <w14:solidFill>
              <w14:schemeClr w14:val="tx1"/>
            </w14:solidFill>
          </w14:textFill>
        </w:rPr>
        <w:t xml:space="preserve">       </w:t>
      </w:r>
      <w:r>
        <w:rPr>
          <w:rFonts w:hint="eastAsia" w:asciiTheme="minorEastAsia" w:hAnsiTheme="minorEastAsia" w:eastAsiaTheme="minorEastAsia"/>
          <w:bCs/>
          <w:iCs/>
          <w:color w:val="000000" w:themeColor="text1"/>
          <w14:textFill>
            <w14:solidFill>
              <w14:schemeClr w14:val="tx1"/>
            </w14:solidFill>
          </w14:textFill>
        </w:rPr>
        <w:t xml:space="preserve"> </w:t>
      </w:r>
    </w:p>
    <w:p>
      <w:pPr>
        <w:spacing w:line="360" w:lineRule="auto"/>
        <w:ind w:firstLine="480"/>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系（供应商名称）的法定代表人。</w:t>
      </w:r>
    </w:p>
    <w:p>
      <w:pPr>
        <w:spacing w:line="360" w:lineRule="auto"/>
        <w:ind w:firstLine="480"/>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特此证明。</w:t>
      </w:r>
    </w:p>
    <w:tbl>
      <w:tblPr>
        <w:tblStyle w:val="33"/>
        <w:tblW w:w="793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793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tabs>
                <w:tab w:val="left" w:pos="4581"/>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（附法定代表人身份证明复印件）</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tc>
      </w:tr>
    </w:tbl>
    <w:p>
      <w:pPr>
        <w:wordWrap w:val="0"/>
        <w:spacing w:line="540" w:lineRule="exact"/>
        <w:ind w:right="1120" w:firstLine="480"/>
        <w:jc w:val="right"/>
        <w:rPr>
          <w:rFonts w:asciiTheme="minorEastAsia" w:hAnsiTheme="minorEastAsia" w:eastAsiaTheme="minorEastAsia"/>
          <w:bCs/>
          <w:iCs/>
          <w:color w:val="000000" w:themeColor="text1"/>
          <w14:textFill>
            <w14:solidFill>
              <w14:schemeClr w14:val="tx1"/>
            </w14:solidFill>
          </w14:textFill>
        </w:rPr>
      </w:pPr>
    </w:p>
    <w:p>
      <w:pPr>
        <w:spacing w:line="540" w:lineRule="exact"/>
        <w:ind w:right="2080" w:firstLine="480"/>
        <w:jc w:val="center"/>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 xml:space="preserve">                             供应商：</w:t>
      </w:r>
      <w:r>
        <w:rPr>
          <w:rFonts w:hint="eastAsia" w:asciiTheme="minorEastAsia" w:hAnsiTheme="minorEastAsia" w:eastAsiaTheme="minorEastAsia"/>
          <w:bCs/>
          <w:iCs/>
          <w:color w:val="000000" w:themeColor="text1"/>
          <w:u w:val="single"/>
          <w14:textFill>
            <w14:solidFill>
              <w14:schemeClr w14:val="tx1"/>
            </w14:solidFill>
          </w14:textFill>
        </w:rPr>
        <w:t xml:space="preserve">            （盖章） </w:t>
      </w:r>
      <w:r>
        <w:rPr>
          <w:rFonts w:hint="eastAsia" w:asciiTheme="minorEastAsia" w:hAnsiTheme="minorEastAsia" w:eastAsiaTheme="minorEastAsia"/>
          <w:bCs/>
          <w:iCs/>
          <w:color w:val="000000" w:themeColor="text1"/>
          <w14:textFill>
            <w14:solidFill>
              <w14:schemeClr w14:val="tx1"/>
            </w14:solidFill>
          </w14:textFill>
        </w:rPr>
        <w:t xml:space="preserve">               </w:t>
      </w:r>
    </w:p>
    <w:p>
      <w:pPr>
        <w:spacing w:line="540" w:lineRule="exact"/>
        <w:ind w:right="395" w:firstLine="480"/>
        <w:jc w:val="center"/>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 xml:space="preserve">                   法定代表人：</w:t>
      </w:r>
      <w:r>
        <w:rPr>
          <w:rFonts w:hint="eastAsia" w:asciiTheme="minorEastAsia" w:hAnsiTheme="minorEastAsia" w:eastAsiaTheme="minorEastAsia"/>
          <w:bCs/>
          <w:iCs/>
          <w:color w:val="000000" w:themeColor="text1"/>
          <w:u w:val="single"/>
          <w14:textFill>
            <w14:solidFill>
              <w14:schemeClr w14:val="tx1"/>
            </w14:solidFill>
          </w14:textFill>
        </w:rPr>
        <w:t xml:space="preserve">    （签字或盖章）</w:t>
      </w:r>
      <w:r>
        <w:rPr>
          <w:rFonts w:hint="eastAsia" w:asciiTheme="minorEastAsia" w:hAnsiTheme="minorEastAsia" w:eastAsiaTheme="minorEastAsia"/>
          <w:bCs/>
          <w:iCs/>
          <w:color w:val="000000" w:themeColor="text1"/>
          <w14:textFill>
            <w14:solidFill>
              <w14:schemeClr w14:val="tx1"/>
            </w14:solidFill>
          </w14:textFill>
        </w:rPr>
        <w:t xml:space="preserve"> </w:t>
      </w:r>
    </w:p>
    <w:p>
      <w:pPr>
        <w:spacing w:line="540" w:lineRule="exact"/>
        <w:ind w:right="2080" w:firstLine="480"/>
        <w:jc w:val="center"/>
        <w:rPr>
          <w:rFonts w:asciiTheme="minorEastAsia" w:hAnsiTheme="minorEastAsia" w:eastAsiaTheme="minorEastAsia"/>
          <w:bCs/>
          <w:iCs/>
          <w:color w:val="000000" w:themeColor="text1"/>
          <w14:textFill>
            <w14:solidFill>
              <w14:schemeClr w14:val="tx1"/>
            </w14:solidFill>
          </w14:textFill>
        </w:rPr>
      </w:pPr>
      <w:r>
        <w:rPr>
          <w:rFonts w:hint="eastAsia" w:asciiTheme="minorEastAsia" w:hAnsiTheme="minorEastAsia" w:eastAsiaTheme="minorEastAsia"/>
          <w:bCs/>
          <w:iCs/>
          <w:color w:val="000000" w:themeColor="text1"/>
          <w14:textFill>
            <w14:solidFill>
              <w14:schemeClr w14:val="tx1"/>
            </w14:solidFill>
          </w14:textFill>
        </w:rPr>
        <w:t xml:space="preserve">                          日期：    年    月    日  </w:t>
      </w:r>
    </w:p>
    <w:p>
      <w:pP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br w:type="page"/>
      </w:r>
    </w:p>
    <w:p>
      <w:pPr>
        <w:spacing w:before="72" w:beforeLines="30"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法人代表授权书</w:t>
      </w:r>
    </w:p>
    <w:p>
      <w:pPr>
        <w:pStyle w:val="10"/>
        <w:spacing w:before="0" w:after="120" w:afterLines="50" w:line="360" w:lineRule="auto"/>
        <w:rPr>
          <w:rFonts w:cs="Times New Roman" w:asciiTheme="minorEastAsia" w:hAnsiTheme="minorEastAsia" w:eastAsiaTheme="minorEastAsia"/>
          <w:b/>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u w:val="single"/>
          <w14:textFill>
            <w14:solidFill>
              <w14:schemeClr w14:val="tx1"/>
            </w14:solidFill>
          </w14:textFill>
        </w:rPr>
        <w:t>（采购人名称）</w:t>
      </w:r>
      <w:r>
        <w:rPr>
          <w:rFonts w:hint="eastAsia" w:cs="Times New Roman" w:asciiTheme="minorEastAsia" w:hAnsiTheme="minorEastAsia" w:eastAsiaTheme="minorEastAsia"/>
          <w:color w:val="000000" w:themeColor="text1"/>
          <w14:textFill>
            <w14:solidFill>
              <w14:schemeClr w14:val="tx1"/>
            </w14:solidFill>
          </w14:textFill>
        </w:rPr>
        <w:t>:</w:t>
      </w:r>
    </w:p>
    <w:p>
      <w:pPr>
        <w:tabs>
          <w:tab w:val="left" w:pos="6663"/>
        </w:tabs>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本授权委托书声明：我</w:t>
      </w:r>
      <w:r>
        <w:rPr>
          <w:rFonts w:hint="eastAsia" w:asciiTheme="minorEastAsia" w:hAnsiTheme="minorEastAsia" w:eastAsiaTheme="minorEastAsia"/>
          <w:color w:val="000000" w:themeColor="text1"/>
          <w:u w:val="single"/>
          <w14:textFill>
            <w14:solidFill>
              <w14:schemeClr w14:val="tx1"/>
            </w14:solidFill>
          </w14:textFill>
        </w:rPr>
        <w:t xml:space="preserve">   （姓名）   </w:t>
      </w:r>
      <w:r>
        <w:rPr>
          <w:rFonts w:hint="eastAsia" w:asciiTheme="minorEastAsia" w:hAnsiTheme="minorEastAsia" w:eastAsiaTheme="minorEastAsia"/>
          <w:color w:val="000000" w:themeColor="text1"/>
          <w14:textFill>
            <w14:solidFill>
              <w14:schemeClr w14:val="tx1"/>
            </w14:solidFill>
          </w14:textFill>
        </w:rPr>
        <w:t>系</w:t>
      </w:r>
      <w:r>
        <w:rPr>
          <w:rFonts w:hint="eastAsia" w:asciiTheme="minorEastAsia" w:hAnsiTheme="minorEastAsia" w:eastAsiaTheme="minorEastAsia"/>
          <w:color w:val="000000" w:themeColor="text1"/>
          <w:u w:val="single"/>
          <w14:textFill>
            <w14:solidFill>
              <w14:schemeClr w14:val="tx1"/>
            </w14:solidFill>
          </w14:textFill>
        </w:rPr>
        <w:t xml:space="preserve">   （供应商名称）  </w:t>
      </w:r>
      <w:r>
        <w:rPr>
          <w:rFonts w:hint="eastAsia" w:asciiTheme="minorEastAsia" w:hAnsiTheme="minorEastAsia" w:eastAsiaTheme="minorEastAsia"/>
          <w:color w:val="000000" w:themeColor="text1"/>
          <w14:textFill>
            <w14:solidFill>
              <w14:schemeClr w14:val="tx1"/>
            </w14:solidFill>
          </w14:textFill>
        </w:rPr>
        <w:t>的法定代表人，现授权</w:t>
      </w:r>
      <w:r>
        <w:rPr>
          <w:rFonts w:hint="eastAsia" w:asciiTheme="minorEastAsia" w:hAnsiTheme="minorEastAsia" w:eastAsiaTheme="minorEastAsia"/>
          <w:color w:val="000000" w:themeColor="text1"/>
          <w:u w:val="single"/>
          <w14:textFill>
            <w14:solidFill>
              <w14:schemeClr w14:val="tx1"/>
            </w14:solidFill>
          </w14:textFill>
        </w:rPr>
        <w:t xml:space="preserve">   （单位名称）   </w:t>
      </w:r>
      <w:r>
        <w:rPr>
          <w:rFonts w:hint="eastAsia" w:asciiTheme="minorEastAsia" w:hAnsiTheme="minorEastAsia" w:eastAsiaTheme="minorEastAsia"/>
          <w:color w:val="000000" w:themeColor="text1"/>
          <w14:textFill>
            <w14:solidFill>
              <w14:schemeClr w14:val="tx1"/>
            </w14:solidFill>
          </w14:textFill>
        </w:rPr>
        <w:t>的</w:t>
      </w:r>
      <w:r>
        <w:rPr>
          <w:rFonts w:hint="eastAsia" w:asciiTheme="minorEastAsia" w:hAnsiTheme="minorEastAsia" w:eastAsiaTheme="minorEastAsia"/>
          <w:color w:val="000000" w:themeColor="text1"/>
          <w:u w:val="single"/>
          <w14:textFill>
            <w14:solidFill>
              <w14:schemeClr w14:val="tx1"/>
            </w14:solidFill>
          </w14:textFill>
        </w:rPr>
        <w:t xml:space="preserve">   （姓名、职务）  </w:t>
      </w:r>
      <w:r>
        <w:rPr>
          <w:rFonts w:hint="eastAsia" w:asciiTheme="minorEastAsia" w:hAnsiTheme="minorEastAsia" w:eastAsiaTheme="minorEastAsia"/>
          <w:color w:val="000000" w:themeColor="text1"/>
          <w14:textFill>
            <w14:solidFill>
              <w14:schemeClr w14:val="tx1"/>
            </w14:solidFill>
          </w14:textFill>
        </w:rPr>
        <w:t>为我单位授权代表，以本单位的名义参加贵方组织的</w:t>
      </w:r>
      <w:r>
        <w:rPr>
          <w:rFonts w:hint="eastAsia" w:asciiTheme="minorEastAsia" w:hAnsiTheme="minorEastAsia" w:eastAsiaTheme="minorEastAsia"/>
          <w:color w:val="000000" w:themeColor="text1"/>
          <w:u w:val="single"/>
          <w14:textFill>
            <w14:solidFill>
              <w14:schemeClr w14:val="tx1"/>
            </w14:solidFill>
          </w14:textFill>
        </w:rPr>
        <w:t xml:space="preserve">    (项目)   </w:t>
      </w:r>
      <w:r>
        <w:rPr>
          <w:rFonts w:hint="eastAsia" w:asciiTheme="minorEastAsia" w:hAnsiTheme="minorEastAsia" w:eastAsiaTheme="minorEastAsia"/>
          <w:color w:val="000000" w:themeColor="text1"/>
          <w14:textFill>
            <w14:solidFill>
              <w14:schemeClr w14:val="tx1"/>
            </w14:solidFill>
          </w14:textFill>
        </w:rPr>
        <w:t>投标活动。授权代理人在投标及合同谈判过程中所签署的一切文件和处理与之有关的一切事宜，我均予以承认。</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授权代理人无转委托权。特此委托。</w:t>
      </w:r>
    </w:p>
    <w:p>
      <w:pPr>
        <w:spacing w:line="360" w:lineRule="auto"/>
        <w:ind w:firstLine="480"/>
        <w:rPr>
          <w:rFonts w:asciiTheme="minorEastAsia" w:hAnsiTheme="minorEastAsia" w:eastAsiaTheme="minorEastAsia"/>
          <w:bCs/>
          <w:iCs/>
          <w:color w:val="000000" w:themeColor="text1"/>
          <w14:textFill>
            <w14:solidFill>
              <w14:schemeClr w14:val="tx1"/>
            </w14:solidFill>
          </w14:textFill>
        </w:rPr>
      </w:pPr>
    </w:p>
    <w:tbl>
      <w:tblPr>
        <w:tblStyle w:val="33"/>
        <w:tblW w:w="796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796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tabs>
                <w:tab w:val="left" w:pos="4581"/>
              </w:tabs>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（附授权代理人身份证明复印件）</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tc>
      </w:tr>
    </w:tbl>
    <w:p>
      <w:pPr>
        <w:wordWrap w:val="0"/>
        <w:spacing w:line="540" w:lineRule="exact"/>
        <w:ind w:right="1120" w:firstLine="480"/>
        <w:jc w:val="right"/>
        <w:rPr>
          <w:rFonts w:asciiTheme="minorEastAsia" w:hAnsiTheme="minorEastAsia" w:eastAsiaTheme="minorEastAsia"/>
          <w:bCs/>
          <w:iCs/>
          <w:color w:val="000000" w:themeColor="text1"/>
          <w14:textFill>
            <w14:solidFill>
              <w14:schemeClr w14:val="tx1"/>
            </w14:solidFill>
          </w14:textFill>
        </w:rPr>
      </w:pPr>
    </w:p>
    <w:p>
      <w:pPr>
        <w:ind w:firstLine="4080" w:firstLineChars="1700"/>
        <w:rPr>
          <w:rFonts w:asciiTheme="minorEastAsia" w:hAnsiTheme="minorEastAsia" w:eastAsiaTheme="minorEastAsia"/>
          <w:color w:val="000000" w:themeColor="text1"/>
          <w14:textFill>
            <w14:solidFill>
              <w14:schemeClr w14:val="tx1"/>
            </w14:solidFill>
          </w14:textFill>
        </w:rPr>
      </w:pPr>
    </w:p>
    <w:p>
      <w:pPr>
        <w:ind w:firstLine="4080" w:firstLineChars="17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w:t>
      </w:r>
      <w:r>
        <w:rPr>
          <w:rFonts w:hint="eastAsia" w:asciiTheme="minorEastAsia" w:hAnsiTheme="minorEastAsia" w:eastAsiaTheme="minorEastAsia"/>
          <w:bCs/>
          <w:iCs/>
          <w:color w:val="000000" w:themeColor="text1"/>
          <w14:textFill>
            <w14:solidFill>
              <w14:schemeClr w14:val="tx1"/>
            </w14:solidFill>
          </w14:textFill>
        </w:rPr>
        <w:t>：</w:t>
      </w:r>
      <w:r>
        <w:rPr>
          <w:rFonts w:hint="eastAsia" w:asciiTheme="minorEastAsia" w:hAnsiTheme="minorEastAsia" w:eastAsiaTheme="minorEastAsia"/>
          <w:bCs/>
          <w:iCs/>
          <w:color w:val="000000" w:themeColor="text1"/>
          <w:u w:val="single"/>
          <w14:textFill>
            <w14:solidFill>
              <w14:schemeClr w14:val="tx1"/>
            </w14:solidFill>
          </w14:textFill>
        </w:rPr>
        <w:t xml:space="preserve">            （盖章）</w:t>
      </w:r>
    </w:p>
    <w:p>
      <w:pPr>
        <w:ind w:firstLine="4080" w:firstLineChars="17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w:t>
      </w:r>
      <w:r>
        <w:rPr>
          <w:rFonts w:hint="eastAsia" w:asciiTheme="minorEastAsia" w:hAnsiTheme="minorEastAsia" w:eastAsiaTheme="minorEastAsia"/>
          <w:bCs/>
          <w:iCs/>
          <w:color w:val="000000" w:themeColor="text1"/>
          <w14:textFill>
            <w14:solidFill>
              <w14:schemeClr w14:val="tx1"/>
            </w14:solidFill>
          </w14:textFill>
        </w:rPr>
        <w:t>：</w:t>
      </w:r>
      <w:r>
        <w:rPr>
          <w:rFonts w:hint="eastAsia" w:asciiTheme="minorEastAsia" w:hAnsiTheme="minorEastAsia" w:eastAsiaTheme="minorEastAsia"/>
          <w:bCs/>
          <w:iCs/>
          <w:color w:val="000000" w:themeColor="text1"/>
          <w:u w:val="single"/>
          <w14:textFill>
            <w14:solidFill>
              <w14:schemeClr w14:val="tx1"/>
            </w14:solidFill>
          </w14:textFill>
        </w:rPr>
        <w:t xml:space="preserve">    （签字或盖章）</w:t>
      </w:r>
    </w:p>
    <w:p>
      <w:pPr>
        <w:ind w:firstLine="4080" w:firstLineChars="17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授权代理人</w:t>
      </w:r>
      <w:r>
        <w:rPr>
          <w:rFonts w:hint="eastAsia" w:asciiTheme="minorEastAsia" w:hAnsiTheme="minorEastAsia" w:eastAsiaTheme="minorEastAsia"/>
          <w:bCs/>
          <w:iCs/>
          <w:color w:val="000000" w:themeColor="text1"/>
          <w14:textFill>
            <w14:solidFill>
              <w14:schemeClr w14:val="tx1"/>
            </w14:solidFill>
          </w14:textFill>
        </w:rPr>
        <w:t>：</w:t>
      </w:r>
      <w:r>
        <w:rPr>
          <w:rFonts w:hint="eastAsia" w:asciiTheme="minorEastAsia" w:hAnsiTheme="minorEastAsia" w:eastAsiaTheme="minorEastAsia"/>
          <w:bCs/>
          <w:iCs/>
          <w:color w:val="000000" w:themeColor="text1"/>
          <w:u w:val="single"/>
          <w14:textFill>
            <w14:solidFill>
              <w14:schemeClr w14:val="tx1"/>
            </w14:solidFill>
          </w14:textFill>
        </w:rPr>
        <w:t xml:space="preserve">          （签字）</w:t>
      </w:r>
    </w:p>
    <w:p>
      <w:pPr>
        <w:ind w:firstLine="4080" w:firstLineChars="17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
        <w:rPr>
          <w:rFonts w:asciiTheme="minorEastAsia" w:hAnsiTheme="minorEastAsia" w:eastAsiaTheme="minorEastAsia"/>
          <w:color w:val="000000" w:themeColor="text1"/>
          <w14:textFill>
            <w14:solidFill>
              <w14:schemeClr w14:val="tx1"/>
            </w14:solidFill>
          </w14:textFill>
        </w:rPr>
      </w:pPr>
      <w:bookmarkStart w:id="1138" w:name="_Toc188638809"/>
      <w:r>
        <w:rPr>
          <w:rFonts w:hint="eastAsia" w:asciiTheme="minorEastAsia" w:hAnsiTheme="minorEastAsia" w:eastAsiaTheme="minorEastAsia"/>
          <w:color w:val="000000" w:themeColor="text1"/>
          <w14:textFill>
            <w14:solidFill>
              <w14:schemeClr w14:val="tx1"/>
            </w14:solidFill>
          </w14:textFill>
        </w:rPr>
        <w:t>附件3：资格证明文件</w:t>
      </w:r>
      <w:bookmarkEnd w:id="1138"/>
    </w:p>
    <w:p>
      <w:pPr>
        <w:spacing w:line="400" w:lineRule="exact"/>
        <w:rPr>
          <w:rFonts w:asciiTheme="minorEastAsia" w:hAnsiTheme="minorEastAsia" w:eastAsiaTheme="minorEastAsia"/>
          <w:color w:val="000000" w:themeColor="text1"/>
          <w14:textFill>
            <w14:solidFill>
              <w14:schemeClr w14:val="tx1"/>
            </w14:solidFill>
          </w14:textFill>
        </w:rPr>
      </w:pPr>
    </w:p>
    <w:p>
      <w:pPr>
        <w:pStyle w:val="96"/>
        <w:numPr>
          <w:ilvl w:val="0"/>
          <w:numId w:val="7"/>
        </w:numPr>
        <w:adjustRightInd w:val="0"/>
        <w:snapToGrid w:val="0"/>
        <w:spacing w:line="360" w:lineRule="auto"/>
        <w:outlineLvl w:val="1"/>
        <w:rPr>
          <w:rFonts w:asciiTheme="minorEastAsia" w:hAnsiTheme="minorEastAsia" w:eastAsiaTheme="minorEastAsia"/>
          <w:b/>
          <w:color w:val="000000" w:themeColor="text1"/>
          <w:sz w:val="24"/>
          <w:szCs w:val="24"/>
          <w14:textFill>
            <w14:solidFill>
              <w14:schemeClr w14:val="tx1"/>
            </w14:solidFill>
          </w14:textFill>
        </w:rPr>
      </w:pPr>
      <w:bookmarkStart w:id="1139" w:name="_Toc186218220"/>
      <w:bookmarkStart w:id="1140" w:name="_Toc153553394"/>
      <w:bookmarkStart w:id="1141" w:name="_Toc77772756"/>
      <w:bookmarkStart w:id="1142" w:name="_Toc153365782"/>
      <w:bookmarkStart w:id="1143" w:name="_Toc186736460"/>
      <w:bookmarkStart w:id="1144" w:name="_Toc96292807"/>
      <w:bookmarkStart w:id="1145" w:name="_Toc188638810"/>
      <w:bookmarkStart w:id="1146" w:name="_Toc154595596"/>
      <w:bookmarkStart w:id="1147" w:name="_Toc179537208"/>
      <w:bookmarkStart w:id="1148" w:name="_Toc77077256"/>
      <w:r>
        <w:rPr>
          <w:rFonts w:hint="eastAsia" w:asciiTheme="minorEastAsia" w:hAnsiTheme="minorEastAsia" w:eastAsiaTheme="minorEastAsia"/>
          <w:b/>
          <w:color w:val="000000" w:themeColor="text1"/>
          <w:sz w:val="24"/>
          <w:szCs w:val="24"/>
          <w14:textFill>
            <w14:solidFill>
              <w14:schemeClr w14:val="tx1"/>
            </w14:solidFill>
          </w14:textFill>
        </w:rPr>
        <w:t>基本情况表</w:t>
      </w:r>
      <w:bookmarkEnd w:id="1139"/>
      <w:bookmarkEnd w:id="1140"/>
      <w:bookmarkEnd w:id="1141"/>
      <w:bookmarkEnd w:id="1142"/>
      <w:bookmarkEnd w:id="1143"/>
      <w:bookmarkEnd w:id="1144"/>
      <w:bookmarkEnd w:id="1145"/>
      <w:bookmarkEnd w:id="1146"/>
      <w:bookmarkEnd w:id="1147"/>
      <w:bookmarkEnd w:id="1148"/>
    </w:p>
    <w:tbl>
      <w:tblPr>
        <w:tblStyle w:val="3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847"/>
        <w:gridCol w:w="2665"/>
        <w:gridCol w:w="1133"/>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供应商名称</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42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注册地址</w:t>
            </w:r>
          </w:p>
        </w:tc>
        <w:tc>
          <w:tcPr>
            <w:tcW w:w="3512"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420"/>
              <w:jc w:val="center"/>
              <w:rPr>
                <w:rFonts w:asciiTheme="minorEastAsia" w:hAnsiTheme="minorEastAsia" w:eastAsiaTheme="minorEastAsia"/>
                <w:color w:val="000000" w:themeColor="text1"/>
                <w:sz w:val="24"/>
                <w:szCs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邮政编码</w:t>
            </w:r>
          </w:p>
        </w:tc>
        <w:tc>
          <w:tcPr>
            <w:tcW w:w="191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42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联系方式</w:t>
            </w:r>
          </w:p>
        </w:tc>
        <w:tc>
          <w:tcPr>
            <w:tcW w:w="847"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联系人</w:t>
            </w:r>
          </w:p>
        </w:tc>
        <w:tc>
          <w:tcPr>
            <w:tcW w:w="266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420"/>
              <w:jc w:val="center"/>
              <w:rPr>
                <w:rFonts w:asciiTheme="minorEastAsia" w:hAnsiTheme="minorEastAsia" w:eastAsiaTheme="minorEastAsia"/>
                <w:color w:val="000000" w:themeColor="text1"/>
                <w:sz w:val="24"/>
                <w:szCs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电话</w:t>
            </w:r>
          </w:p>
        </w:tc>
        <w:tc>
          <w:tcPr>
            <w:tcW w:w="191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42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847"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传真</w:t>
            </w:r>
          </w:p>
        </w:tc>
        <w:tc>
          <w:tcPr>
            <w:tcW w:w="266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420"/>
              <w:jc w:val="center"/>
              <w:rPr>
                <w:rFonts w:asciiTheme="minorEastAsia" w:hAnsiTheme="minorEastAsia" w:eastAsiaTheme="minorEastAsia"/>
                <w:color w:val="000000" w:themeColor="text1"/>
                <w:sz w:val="24"/>
                <w:szCs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网址</w:t>
            </w:r>
          </w:p>
        </w:tc>
        <w:tc>
          <w:tcPr>
            <w:tcW w:w="191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42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组织结构</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ind w:firstLine="420"/>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法定代表人</w:t>
            </w:r>
          </w:p>
        </w:tc>
        <w:tc>
          <w:tcPr>
            <w:tcW w:w="847"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姓名</w:t>
            </w:r>
          </w:p>
        </w:tc>
        <w:tc>
          <w:tcPr>
            <w:tcW w:w="266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电话</w:t>
            </w:r>
          </w:p>
        </w:tc>
        <w:tc>
          <w:tcPr>
            <w:tcW w:w="191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营业执照号</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注册资本</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成立日期</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基本账户开户银行</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基本账户银行账号</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经营范围</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9" w:hRule="atLeast"/>
        </w:trPr>
        <w:tc>
          <w:tcPr>
            <w:tcW w:w="1949" w:type="dxa"/>
            <w:tcBorders>
              <w:top w:val="single" w:color="auto" w:sz="4" w:space="0"/>
              <w:left w:val="single" w:color="auto" w:sz="4" w:space="0"/>
              <w:bottom w:val="nil"/>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供应商关联企业情况（包括但不限于与供应商法定代表人为同一人或者存在控股、管理关系的不同单位）</w:t>
            </w:r>
          </w:p>
        </w:tc>
        <w:tc>
          <w:tcPr>
            <w:tcW w:w="6556" w:type="dxa"/>
            <w:gridSpan w:val="4"/>
            <w:tcBorders>
              <w:top w:val="single" w:color="auto" w:sz="4" w:space="0"/>
              <w:left w:val="single" w:color="auto" w:sz="4" w:space="0"/>
              <w:bottom w:val="nil"/>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949"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备注</w:t>
            </w:r>
          </w:p>
        </w:tc>
        <w:tc>
          <w:tcPr>
            <w:tcW w:w="655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p>
        </w:tc>
      </w:tr>
    </w:tbl>
    <w:p>
      <w:pPr>
        <w:topLinePunct/>
        <w:spacing w:line="360" w:lineRule="exact"/>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br w:type="page"/>
      </w:r>
    </w:p>
    <w:p>
      <w:pPr>
        <w:pStyle w:val="96"/>
        <w:numPr>
          <w:ilvl w:val="0"/>
          <w:numId w:val="7"/>
        </w:numPr>
        <w:adjustRightInd w:val="0"/>
        <w:snapToGrid w:val="0"/>
        <w:spacing w:line="360" w:lineRule="auto"/>
        <w:outlineLvl w:val="1"/>
        <w:rPr>
          <w:rFonts w:asciiTheme="minorEastAsia" w:hAnsiTheme="minorEastAsia" w:eastAsiaTheme="minorEastAsia"/>
          <w:b/>
          <w:color w:val="000000" w:themeColor="text1"/>
          <w:sz w:val="24"/>
          <w:szCs w:val="24"/>
          <w14:textFill>
            <w14:solidFill>
              <w14:schemeClr w14:val="tx1"/>
            </w14:solidFill>
          </w14:textFill>
        </w:rPr>
      </w:pPr>
      <w:bookmarkStart w:id="1149" w:name="_Toc179537209"/>
      <w:bookmarkStart w:id="1150" w:name="_Toc153553395"/>
      <w:bookmarkStart w:id="1151" w:name="_Toc153365783"/>
      <w:bookmarkStart w:id="1152" w:name="_Toc154595597"/>
      <w:bookmarkStart w:id="1153" w:name="_Toc186218221"/>
      <w:bookmarkStart w:id="1154" w:name="_Toc186736461"/>
      <w:bookmarkStart w:id="1155" w:name="_Toc188638811"/>
      <w:r>
        <w:rPr>
          <w:rFonts w:hint="eastAsia" w:asciiTheme="minorEastAsia" w:hAnsiTheme="minorEastAsia" w:eastAsiaTheme="minorEastAsia"/>
          <w:b/>
          <w:color w:val="000000" w:themeColor="text1"/>
          <w:sz w:val="24"/>
          <w:szCs w:val="24"/>
          <w14:textFill>
            <w14:solidFill>
              <w14:schemeClr w14:val="tx1"/>
            </w14:solidFill>
          </w14:textFill>
        </w:rPr>
        <w:t>营业执照</w:t>
      </w:r>
      <w:bookmarkEnd w:id="1149"/>
      <w:bookmarkEnd w:id="1150"/>
      <w:bookmarkEnd w:id="1151"/>
      <w:bookmarkEnd w:id="1152"/>
      <w:r>
        <w:rPr>
          <w:rFonts w:hint="eastAsia" w:asciiTheme="minorEastAsia" w:hAnsiTheme="minorEastAsia" w:eastAsiaTheme="minorEastAsia"/>
          <w:b/>
          <w:color w:val="000000" w:themeColor="text1"/>
          <w:sz w:val="24"/>
          <w:szCs w:val="24"/>
          <w14:textFill>
            <w14:solidFill>
              <w14:schemeClr w14:val="tx1"/>
            </w14:solidFill>
          </w14:textFill>
        </w:rPr>
        <w:t>、资质证书</w:t>
      </w:r>
      <w:bookmarkEnd w:id="1153"/>
      <w:bookmarkEnd w:id="1154"/>
      <w:bookmarkEnd w:id="1155"/>
    </w:p>
    <w:p>
      <w:pPr>
        <w:spacing w:line="400" w:lineRule="exact"/>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(1)营业执照或事业单位法人证书复印件。</w:t>
      </w:r>
    </w:p>
    <w:p>
      <w:pPr>
        <w:spacing w:line="400" w:lineRule="exact"/>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(2)资质证书复印件。</w:t>
      </w:r>
    </w:p>
    <w:p>
      <w:pP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br w:type="page"/>
      </w:r>
    </w:p>
    <w:p>
      <w:pPr>
        <w:pStyle w:val="96"/>
        <w:numPr>
          <w:ilvl w:val="0"/>
          <w:numId w:val="7"/>
        </w:numPr>
        <w:adjustRightInd w:val="0"/>
        <w:snapToGrid w:val="0"/>
        <w:spacing w:line="360" w:lineRule="auto"/>
        <w:outlineLvl w:val="1"/>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156" w:name="_Toc188638812"/>
      <w:bookmarkStart w:id="1157" w:name="_Toc186736462"/>
      <w:r>
        <w:rPr>
          <w:rFonts w:hint="eastAsia" w:asciiTheme="minorEastAsia" w:hAnsiTheme="minorEastAsia" w:eastAsiaTheme="minorEastAsia" w:cstheme="minorEastAsia"/>
          <w:b/>
          <w:color w:val="000000" w:themeColor="text1"/>
          <w:sz w:val="24"/>
          <w:szCs w:val="24"/>
          <w14:textFill>
            <w14:solidFill>
              <w14:schemeClr w14:val="tx1"/>
            </w14:solidFill>
          </w14:textFill>
        </w:rPr>
        <w:t>近年完成的类似项目情况表</w:t>
      </w:r>
      <w:bookmarkEnd w:id="1156"/>
      <w:bookmarkEnd w:id="1157"/>
    </w:p>
    <w:tbl>
      <w:tblPr>
        <w:tblStyle w:val="33"/>
        <w:tblW w:w="91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6"/>
        <w:gridCol w:w="1843"/>
        <w:gridCol w:w="1559"/>
        <w:gridCol w:w="1134"/>
        <w:gridCol w:w="1559"/>
        <w:gridCol w:w="1593"/>
        <w:gridCol w:w="7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676" w:type="dxa"/>
            <w:shd w:val="clear" w:color="auto" w:fill="F1F1F1" w:themeFill="background1" w:themeFillShade="F2"/>
            <w:vAlign w:val="center"/>
          </w:tcPr>
          <w:p>
            <w:pPr>
              <w:spacing w:line="36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年份</w:t>
            </w:r>
          </w:p>
        </w:tc>
        <w:tc>
          <w:tcPr>
            <w:tcW w:w="1843" w:type="dxa"/>
            <w:shd w:val="clear" w:color="auto" w:fill="F1F1F1" w:themeFill="background1" w:themeFillShade="F2"/>
            <w:vAlign w:val="center"/>
          </w:tcPr>
          <w:p>
            <w:pPr>
              <w:spacing w:line="36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项目名称</w:t>
            </w:r>
          </w:p>
        </w:tc>
        <w:tc>
          <w:tcPr>
            <w:tcW w:w="1559" w:type="dxa"/>
            <w:tcBorders>
              <w:right w:val="single" w:color="auto" w:sz="4" w:space="0"/>
            </w:tcBorders>
            <w:shd w:val="clear" w:color="auto" w:fill="F1F1F1" w:themeFill="background1" w:themeFillShade="F2"/>
            <w:vAlign w:val="center"/>
          </w:tcPr>
          <w:p>
            <w:pPr>
              <w:spacing w:line="36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项目内容</w:t>
            </w:r>
          </w:p>
        </w:tc>
        <w:tc>
          <w:tcPr>
            <w:tcW w:w="1134" w:type="dxa"/>
            <w:tcBorders>
              <w:left w:val="single" w:color="auto" w:sz="4" w:space="0"/>
            </w:tcBorders>
            <w:shd w:val="clear" w:color="auto" w:fill="F1F1F1" w:themeFill="background1" w:themeFillShade="F2"/>
            <w:vAlign w:val="center"/>
          </w:tcPr>
          <w:p>
            <w:pPr>
              <w:spacing w:line="36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合同总价</w:t>
            </w:r>
          </w:p>
        </w:tc>
        <w:tc>
          <w:tcPr>
            <w:tcW w:w="1559" w:type="dxa"/>
            <w:shd w:val="clear" w:color="auto" w:fill="F1F1F1" w:themeFill="background1" w:themeFillShade="F2"/>
            <w:vAlign w:val="center"/>
          </w:tcPr>
          <w:p>
            <w:pPr>
              <w:spacing w:line="36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使用单位名称</w:t>
            </w:r>
          </w:p>
        </w:tc>
        <w:tc>
          <w:tcPr>
            <w:tcW w:w="1593" w:type="dxa"/>
            <w:shd w:val="clear" w:color="auto" w:fill="F1F1F1" w:themeFill="background1" w:themeFillShade="F2"/>
            <w:vAlign w:val="center"/>
          </w:tcPr>
          <w:p>
            <w:pPr>
              <w:spacing w:line="36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使用单位联系人及电话</w:t>
            </w:r>
          </w:p>
        </w:tc>
        <w:tc>
          <w:tcPr>
            <w:tcW w:w="754" w:type="dxa"/>
            <w:shd w:val="clear" w:color="auto" w:fill="F1F1F1" w:themeFill="background1" w:themeFillShade="F2"/>
            <w:vAlign w:val="center"/>
          </w:tcPr>
          <w:p>
            <w:pPr>
              <w:spacing w:line="36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6"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4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tcBorders>
              <w:righ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lef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54"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6"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4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tcBorders>
              <w:righ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lef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54"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6"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4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tcBorders>
              <w:righ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lef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54"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6"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4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tcBorders>
              <w:righ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lef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54"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6"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4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tcBorders>
              <w:righ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lef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54"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6"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4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tcBorders>
              <w:righ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left w:val="single" w:color="auto" w:sz="4" w:space="0"/>
            </w:tcBorders>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593"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754" w:type="dxa"/>
            <w:vAlign w:val="center"/>
          </w:tcPr>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注：具体要求以资格条件及评审办法为准。</w:t>
      </w:r>
    </w:p>
    <w:p>
      <w:pP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br w:type="page"/>
      </w:r>
    </w:p>
    <w:p>
      <w:pPr>
        <w:pStyle w:val="96"/>
        <w:numPr>
          <w:ilvl w:val="0"/>
          <w:numId w:val="7"/>
        </w:numPr>
        <w:adjustRightInd w:val="0"/>
        <w:snapToGrid w:val="0"/>
        <w:spacing w:line="360" w:lineRule="auto"/>
        <w:outlineLvl w:val="1"/>
        <w:rPr>
          <w:rFonts w:asciiTheme="minorEastAsia" w:hAnsiTheme="minorEastAsia" w:eastAsiaTheme="minorEastAsia"/>
          <w:b/>
          <w:color w:val="000000" w:themeColor="text1"/>
          <w:sz w:val="24"/>
          <w:szCs w:val="24"/>
          <w14:textFill>
            <w14:solidFill>
              <w14:schemeClr w14:val="tx1"/>
            </w14:solidFill>
          </w14:textFill>
        </w:rPr>
      </w:pPr>
      <w:bookmarkStart w:id="1158" w:name="_Toc186736463"/>
      <w:bookmarkStart w:id="1159" w:name="_Toc188638813"/>
      <w:r>
        <w:rPr>
          <w:rFonts w:hint="eastAsia" w:asciiTheme="minorEastAsia" w:hAnsiTheme="minorEastAsia" w:eastAsiaTheme="minorEastAsia"/>
          <w:b/>
          <w:color w:val="000000" w:themeColor="text1"/>
          <w:sz w:val="24"/>
          <w:szCs w:val="24"/>
          <w14:textFill>
            <w14:solidFill>
              <w14:schemeClr w14:val="tx1"/>
            </w14:solidFill>
          </w14:textFill>
        </w:rPr>
        <w:t>投标承诺函</w:t>
      </w:r>
      <w:bookmarkEnd w:id="1158"/>
      <w:bookmarkEnd w:id="1159"/>
    </w:p>
    <w:p>
      <w:pPr>
        <w:spacing w:line="360" w:lineRule="auto"/>
        <w:rPr>
          <w:rFonts w:asciiTheme="minorEastAsia" w:hAnsiTheme="minorEastAsia" w:eastAsiaTheme="minorEastAsia"/>
          <w:bCs/>
          <w:color w:val="000000" w:themeColor="text1"/>
          <w:sz w:val="24"/>
          <w:szCs w:val="24"/>
          <w14:textFill>
            <w14:solidFill>
              <w14:schemeClr w14:val="tx1"/>
            </w14:solidFill>
          </w14:textFill>
        </w:rPr>
      </w:pP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asciiTheme="minorEastAsia" w:hAnsiTheme="minorEastAsia" w:eastAsiaTheme="minorEastAsia"/>
          <w:bCs/>
          <w:color w:val="000000" w:themeColor="text1"/>
          <w:sz w:val="24"/>
          <w:szCs w:val="24"/>
          <w14:textFill>
            <w14:solidFill>
              <w14:schemeClr w14:val="tx1"/>
            </w14:solidFill>
          </w14:textFill>
        </w:rPr>
        <w:t>格式自拟</w:t>
      </w:r>
      <w:r>
        <w:rPr>
          <w:rFonts w:hint="eastAsia" w:asciiTheme="minorEastAsia" w:hAnsiTheme="minorEastAsia" w:eastAsiaTheme="minorEastAsia"/>
          <w:bCs/>
          <w:color w:val="000000" w:themeColor="text1"/>
          <w:sz w:val="24"/>
          <w:szCs w:val="24"/>
          <w14:textFill>
            <w14:solidFill>
              <w14:schemeClr w14:val="tx1"/>
            </w14:solidFill>
          </w14:textFill>
        </w:rPr>
        <w:t>，</w:t>
      </w:r>
      <w:r>
        <w:rPr>
          <w:rFonts w:asciiTheme="minorEastAsia" w:hAnsiTheme="minorEastAsia" w:eastAsiaTheme="minorEastAsia"/>
          <w:bCs/>
          <w:color w:val="000000" w:themeColor="text1"/>
          <w:sz w:val="24"/>
          <w:szCs w:val="24"/>
          <w14:textFill>
            <w14:solidFill>
              <w14:schemeClr w14:val="tx1"/>
            </w14:solidFill>
          </w14:textFill>
        </w:rPr>
        <w:t>承诺</w:t>
      </w:r>
      <w:r>
        <w:rPr>
          <w:rFonts w:hint="eastAsia" w:asciiTheme="minorEastAsia" w:hAnsiTheme="minorEastAsia" w:eastAsiaTheme="minorEastAsia"/>
          <w:bCs/>
          <w:color w:val="000000" w:themeColor="text1"/>
          <w:sz w:val="24"/>
          <w:szCs w:val="24"/>
          <w14:textFill>
            <w14:solidFill>
              <w14:schemeClr w14:val="tx1"/>
            </w14:solidFill>
          </w14:textFill>
        </w:rPr>
        <w:t>不存在下列情形之一：</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(1)处于被责令停产停业、暂扣或者吊销执照、暂扣或者吊销许可证、吊销资质证书状态；</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(2)进入清算程序、被宣告破产或其他丧失履约能力的情形；</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(3)与采购人存在利害关系且可能影响采购公正性；</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(4)与本采购项目的采购人同为一个法定代表人；</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(5)与本采购项目的采购人存在控股或参股关系；</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(6)被依法暂停或者取消投标资格；</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(7)在最近三年内发生重大产品质量问题（以相关行业主管部门的行政处罚决定或司法机关出具的有关法律文书为准）；</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(8)被国家市场监督管理总局在国家企业信用信息公示系统（http://www.gsxt.gov.cn）中列入严重违法失信企业名单；</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(9)被最高人民法院在“信用中国”网站（www.creditchina.gov.cn）或各级信用信息共享平台中列入失信被执行人名单；</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(10)法律法规规定的其他情形。</w:t>
      </w:r>
      <w:r>
        <w:rPr>
          <w:rFonts w:asciiTheme="minorEastAsia" w:hAnsiTheme="minorEastAsia" w:eastAsiaTheme="minorEastAsia"/>
          <w:bCs/>
          <w:color w:val="000000" w:themeColor="text1"/>
          <w:sz w:val="24"/>
          <w:szCs w:val="24"/>
          <w14:textFill>
            <w14:solidFill>
              <w14:schemeClr w14:val="tx1"/>
            </w14:solidFill>
          </w14:textFill>
        </w:rPr>
        <w:cr/>
      </w:r>
      <w:r>
        <w:rPr>
          <w:rFonts w:hint="eastAsia" w:asciiTheme="minorEastAsia" w:hAnsiTheme="minorEastAsia" w:eastAsiaTheme="minorEastAsia"/>
          <w:bCs/>
          <w:color w:val="000000" w:themeColor="text1"/>
          <w:sz w:val="24"/>
          <w:szCs w:val="24"/>
          <w14:textFill>
            <w14:solidFill>
              <w14:schemeClr w14:val="tx1"/>
            </w14:solidFill>
          </w14:textFill>
        </w:rPr>
        <w:br w:type="page"/>
      </w:r>
    </w:p>
    <w:p>
      <w:pPr>
        <w:spacing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信用查询记录</w:t>
      </w: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p>
    <w:p>
      <w:pPr>
        <w:spacing w:line="360" w:lineRule="auto"/>
        <w:ind w:firstLine="42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附：信用中国、国家企业信用信息公示系统信用查询记录。</w:t>
      </w:r>
    </w:p>
    <w:p>
      <w:pPr>
        <w:rPr>
          <w:rFonts w:ascii="Arial" w:hAnsi="Arial" w:cs="黑体"/>
          <w:color w:val="000000" w:themeColor="text1"/>
          <w:sz w:val="21"/>
          <w:szCs w:val="21"/>
          <w14:textFill>
            <w14:solidFill>
              <w14:schemeClr w14:val="tx1"/>
            </w14:solidFill>
          </w14:textFill>
        </w:rPr>
      </w:pPr>
      <w:r>
        <w:rPr>
          <w:color w:val="000000" w:themeColor="text1"/>
          <w14:textFill>
            <w14:solidFill>
              <w14:schemeClr w14:val="tx1"/>
            </w14:solidFill>
          </w14:textFill>
        </w:rPr>
        <w:br w:type="page"/>
      </w:r>
    </w:p>
    <w:p>
      <w:pPr>
        <w:pStyle w:val="96"/>
        <w:numPr>
          <w:ilvl w:val="0"/>
          <w:numId w:val="7"/>
        </w:numPr>
        <w:adjustRightInd w:val="0"/>
        <w:snapToGrid w:val="0"/>
        <w:spacing w:line="360" w:lineRule="auto"/>
        <w:outlineLvl w:val="1"/>
        <w:rPr>
          <w:rFonts w:asciiTheme="minorEastAsia" w:hAnsiTheme="minorEastAsia" w:eastAsiaTheme="minorEastAsia"/>
          <w:b/>
          <w:color w:val="000000" w:themeColor="text1"/>
          <w:sz w:val="21"/>
          <w:szCs w:val="21"/>
          <w14:textFill>
            <w14:solidFill>
              <w14:schemeClr w14:val="tx1"/>
            </w14:solidFill>
          </w14:textFill>
        </w:rPr>
      </w:pPr>
      <w:bookmarkStart w:id="1160" w:name="_Toc186218224"/>
      <w:bookmarkStart w:id="1161" w:name="_Toc153365787"/>
      <w:bookmarkStart w:id="1162" w:name="_Toc186736464"/>
      <w:bookmarkStart w:id="1163" w:name="_Toc154595601"/>
      <w:bookmarkStart w:id="1164" w:name="_Toc153553399"/>
      <w:bookmarkStart w:id="1165" w:name="_Toc179537213"/>
      <w:bookmarkStart w:id="1166" w:name="_Toc188638814"/>
      <w:r>
        <w:rPr>
          <w:rFonts w:hint="eastAsia" w:asciiTheme="minorEastAsia" w:hAnsiTheme="minorEastAsia" w:eastAsiaTheme="minorEastAsia"/>
          <w:b/>
          <w:color w:val="000000" w:themeColor="text1"/>
          <w:sz w:val="21"/>
          <w:szCs w:val="21"/>
          <w14:textFill>
            <w14:solidFill>
              <w14:schemeClr w14:val="tx1"/>
            </w14:solidFill>
          </w14:textFill>
        </w:rPr>
        <w:t>其他资格证明文件</w:t>
      </w:r>
      <w:bookmarkEnd w:id="1160"/>
      <w:bookmarkEnd w:id="1161"/>
      <w:bookmarkEnd w:id="1162"/>
      <w:bookmarkEnd w:id="1163"/>
      <w:bookmarkEnd w:id="1164"/>
      <w:bookmarkEnd w:id="1165"/>
      <w:bookmarkEnd w:id="1166"/>
    </w:p>
    <w:p>
      <w:pPr>
        <w:pStyle w:val="96"/>
        <w:numPr>
          <w:ilvl w:val="0"/>
          <w:numId w:val="7"/>
        </w:numPr>
        <w:adjustRightInd w:val="0"/>
        <w:snapToGrid w:val="0"/>
        <w:spacing w:line="360" w:lineRule="auto"/>
        <w:outlineLvl w:val="1"/>
        <w:rPr>
          <w:rFonts w:asciiTheme="minorEastAsia" w:hAnsiTheme="minorEastAsia" w:eastAsiaTheme="minorEastAsia"/>
          <w:b/>
          <w:color w:val="000000" w:themeColor="text1"/>
          <w:sz w:val="21"/>
          <w:szCs w:val="21"/>
          <w14:textFill>
            <w14:solidFill>
              <w14:schemeClr w14:val="tx1"/>
            </w14:solidFill>
          </w14:textFill>
        </w:rPr>
        <w:sectPr>
          <w:headerReference r:id="rId12" w:type="first"/>
          <w:footerReference r:id="rId14" w:type="first"/>
          <w:headerReference r:id="rId11" w:type="default"/>
          <w:footerReference r:id="rId13" w:type="default"/>
          <w:pgSz w:w="11906" w:h="16838"/>
          <w:pgMar w:top="1701" w:right="1361" w:bottom="1361" w:left="1361" w:header="851" w:footer="992" w:gutter="0"/>
          <w:pgBorders>
            <w:top w:val="none" w:sz="0" w:space="0"/>
            <w:left w:val="none" w:sz="0" w:space="0"/>
            <w:bottom w:val="none" w:sz="0" w:space="0"/>
            <w:right w:val="none" w:sz="0" w:space="0"/>
          </w:pgBorders>
          <w:cols w:space="425" w:num="1"/>
          <w:titlePg/>
          <w:docGrid w:linePitch="381" w:charSpace="0"/>
        </w:sectPr>
      </w:pPr>
    </w:p>
    <w:p>
      <w:pPr>
        <w:pStyle w:val="3"/>
        <w:spacing w:line="360" w:lineRule="auto"/>
        <w:rPr>
          <w:rFonts w:asciiTheme="minorEastAsia" w:hAnsiTheme="minorEastAsia" w:eastAsiaTheme="minorEastAsia"/>
          <w:color w:val="000000" w:themeColor="text1"/>
          <w14:textFill>
            <w14:solidFill>
              <w14:schemeClr w14:val="tx1"/>
            </w14:solidFill>
          </w14:textFill>
        </w:rPr>
      </w:pPr>
      <w:bookmarkStart w:id="1167" w:name="_Toc188638815"/>
      <w:r>
        <w:rPr>
          <w:rFonts w:hint="eastAsia" w:asciiTheme="minorEastAsia" w:hAnsiTheme="minorEastAsia" w:eastAsiaTheme="minorEastAsia"/>
          <w:color w:val="000000" w:themeColor="text1"/>
          <w14:textFill>
            <w14:solidFill>
              <w14:schemeClr w14:val="tx1"/>
            </w14:solidFill>
          </w14:textFill>
        </w:rPr>
        <w:t>附件4：分项报价表</w:t>
      </w:r>
      <w:bookmarkEnd w:id="1167"/>
    </w:p>
    <w:p>
      <w:pPr>
        <w:tabs>
          <w:tab w:val="left" w:pos="1800"/>
          <w:tab w:val="left" w:pos="5580"/>
        </w:tabs>
        <w:spacing w:line="360" w:lineRule="auto"/>
        <w:ind w:firstLine="0" w:firstLineChars="0"/>
        <w:rPr>
          <w:rFonts w:asciiTheme="minorEastAsia" w:hAnsiTheme="minorEastAsia" w:eastAsiaTheme="minorEastAsia"/>
          <w:bCs/>
          <w:color w:val="000000" w:themeColor="text1"/>
          <w:sz w:val="24"/>
          <w:szCs w:val="21"/>
          <w14:textFill>
            <w14:solidFill>
              <w14:schemeClr w14:val="tx1"/>
            </w14:solidFill>
          </w14:textFill>
        </w:rPr>
      </w:pPr>
      <w:r>
        <w:rPr>
          <w:rFonts w:hint="eastAsia" w:asciiTheme="minorEastAsia" w:hAnsiTheme="minorEastAsia" w:eastAsiaTheme="minorEastAsia"/>
          <w:bCs/>
          <w:color w:val="000000" w:themeColor="text1"/>
          <w:sz w:val="24"/>
          <w:szCs w:val="21"/>
          <w14:textFill>
            <w14:solidFill>
              <w14:schemeClr w14:val="tx1"/>
            </w14:solidFill>
          </w14:textFill>
        </w:rPr>
        <w:t xml:space="preserve">项目名称：   </w:t>
      </w:r>
    </w:p>
    <w:tbl>
      <w:tblPr>
        <w:tblStyle w:val="33"/>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shd w:val="clear" w:color="auto" w:fill="F1F1F1" w:themeFill="background1" w:themeFillShade="F2"/>
            <w:vAlign w:val="center"/>
          </w:tcPr>
          <w:p>
            <w:pPr>
              <w:spacing w:line="360" w:lineRule="exact"/>
              <w:jc w:val="center"/>
              <w:rPr>
                <w:rFonts w:asciiTheme="minorEastAsia" w:hAnsiTheme="minorEastAsia" w:eastAsiaTheme="minorEastAsia"/>
                <w:b/>
                <w:bCs/>
                <w:color w:val="000000" w:themeColor="text1"/>
                <w:sz w:val="24"/>
                <w:szCs w:val="21"/>
                <w14:textFill>
                  <w14:solidFill>
                    <w14:schemeClr w14:val="tx1"/>
                  </w14:solidFill>
                </w14:textFill>
              </w:rPr>
            </w:pPr>
            <w:r>
              <w:rPr>
                <w:rFonts w:hint="eastAsia" w:asciiTheme="minorEastAsia" w:hAnsiTheme="minorEastAsia" w:eastAsiaTheme="minorEastAsia"/>
                <w:b/>
                <w:bCs/>
                <w:color w:val="000000" w:themeColor="text1"/>
                <w:sz w:val="24"/>
                <w:szCs w:val="21"/>
                <w14:textFill>
                  <w14:solidFill>
                    <w14:schemeClr w14:val="tx1"/>
                  </w14:solidFill>
                </w14:textFill>
              </w:rPr>
              <w:t>序号</w:t>
            </w:r>
          </w:p>
        </w:tc>
        <w:tc>
          <w:tcPr>
            <w:tcW w:w="1560" w:type="dxa"/>
            <w:tcBorders>
              <w:right w:val="single" w:color="000000" w:sz="4" w:space="0"/>
            </w:tcBorders>
            <w:shd w:val="clear" w:color="auto" w:fill="F1F1F1" w:themeFill="background1" w:themeFillShade="F2"/>
            <w:vAlign w:val="center"/>
          </w:tcPr>
          <w:p>
            <w:pPr>
              <w:spacing w:line="360" w:lineRule="exact"/>
              <w:jc w:val="center"/>
              <w:rPr>
                <w:rFonts w:asciiTheme="minorEastAsia" w:hAnsiTheme="minorEastAsia" w:eastAsiaTheme="minorEastAsia"/>
                <w:b/>
                <w:bCs/>
                <w:color w:val="000000" w:themeColor="text1"/>
                <w:sz w:val="24"/>
                <w:szCs w:val="21"/>
                <w14:textFill>
                  <w14:solidFill>
                    <w14:schemeClr w14:val="tx1"/>
                  </w14:solidFill>
                </w14:textFill>
              </w:rPr>
            </w:pPr>
            <w:r>
              <w:rPr>
                <w:rFonts w:hint="eastAsia" w:asciiTheme="minorEastAsia" w:hAnsiTheme="minorEastAsia" w:eastAsiaTheme="minorEastAsia"/>
                <w:b/>
                <w:bCs/>
                <w:color w:val="000000" w:themeColor="text1"/>
                <w:sz w:val="24"/>
                <w:szCs w:val="21"/>
                <w14:textFill>
                  <w14:solidFill>
                    <w14:schemeClr w14:val="tx1"/>
                  </w14:solidFill>
                </w14:textFill>
              </w:rPr>
              <w:t>分项名称</w:t>
            </w:r>
          </w:p>
        </w:tc>
        <w:tc>
          <w:tcPr>
            <w:tcW w:w="994" w:type="dxa"/>
            <w:tcBorders>
              <w:left w:val="single" w:color="000000" w:sz="4" w:space="0"/>
            </w:tcBorders>
            <w:shd w:val="clear" w:color="auto" w:fill="F1F1F1" w:themeFill="background1" w:themeFillShade="F2"/>
            <w:vAlign w:val="center"/>
          </w:tcPr>
          <w:p>
            <w:pPr>
              <w:spacing w:line="360" w:lineRule="exact"/>
              <w:jc w:val="center"/>
              <w:rPr>
                <w:rFonts w:asciiTheme="minorEastAsia" w:hAnsiTheme="minorEastAsia" w:eastAsiaTheme="minorEastAsia"/>
                <w:b/>
                <w:bCs/>
                <w:color w:val="000000" w:themeColor="text1"/>
                <w:sz w:val="24"/>
                <w:szCs w:val="21"/>
                <w14:textFill>
                  <w14:solidFill>
                    <w14:schemeClr w14:val="tx1"/>
                  </w14:solidFill>
                </w14:textFill>
              </w:rPr>
            </w:pPr>
            <w:r>
              <w:rPr>
                <w:rFonts w:hint="eastAsia" w:asciiTheme="minorEastAsia" w:hAnsiTheme="minorEastAsia" w:eastAsiaTheme="minorEastAsia"/>
                <w:b/>
                <w:bCs/>
                <w:color w:val="000000" w:themeColor="text1"/>
                <w:sz w:val="24"/>
                <w:szCs w:val="21"/>
                <w14:textFill>
                  <w14:solidFill>
                    <w14:schemeClr w14:val="tx1"/>
                  </w14:solidFill>
                </w14:textFill>
              </w:rPr>
              <w:t>单位</w:t>
            </w:r>
          </w:p>
        </w:tc>
        <w:tc>
          <w:tcPr>
            <w:tcW w:w="1133" w:type="dxa"/>
            <w:shd w:val="clear" w:color="auto" w:fill="F1F1F1" w:themeFill="background1" w:themeFillShade="F2"/>
            <w:vAlign w:val="center"/>
          </w:tcPr>
          <w:p>
            <w:pPr>
              <w:spacing w:line="360" w:lineRule="exact"/>
              <w:jc w:val="center"/>
              <w:rPr>
                <w:rFonts w:asciiTheme="minorEastAsia" w:hAnsiTheme="minorEastAsia" w:eastAsiaTheme="minorEastAsia"/>
                <w:b/>
                <w:bCs/>
                <w:color w:val="000000" w:themeColor="text1"/>
                <w:sz w:val="24"/>
                <w:szCs w:val="21"/>
                <w14:textFill>
                  <w14:solidFill>
                    <w14:schemeClr w14:val="tx1"/>
                  </w14:solidFill>
                </w14:textFill>
              </w:rPr>
            </w:pPr>
            <w:r>
              <w:rPr>
                <w:rFonts w:hint="eastAsia" w:asciiTheme="minorEastAsia" w:hAnsiTheme="minorEastAsia" w:eastAsiaTheme="minorEastAsia"/>
                <w:b/>
                <w:bCs/>
                <w:color w:val="000000" w:themeColor="text1"/>
                <w:sz w:val="24"/>
                <w:szCs w:val="21"/>
                <w14:textFill>
                  <w14:solidFill>
                    <w14:schemeClr w14:val="tx1"/>
                  </w14:solidFill>
                </w14:textFill>
              </w:rPr>
              <w:t>数量</w:t>
            </w:r>
          </w:p>
        </w:tc>
        <w:tc>
          <w:tcPr>
            <w:tcW w:w="1419" w:type="dxa"/>
            <w:shd w:val="clear" w:color="auto" w:fill="F1F1F1" w:themeFill="background1" w:themeFillShade="F2"/>
            <w:vAlign w:val="center"/>
          </w:tcPr>
          <w:p>
            <w:pPr>
              <w:spacing w:line="360" w:lineRule="exact"/>
              <w:jc w:val="center"/>
              <w:rPr>
                <w:rFonts w:asciiTheme="minorEastAsia" w:hAnsiTheme="minorEastAsia" w:eastAsiaTheme="minorEastAsia"/>
                <w:b/>
                <w:bCs/>
                <w:color w:val="000000" w:themeColor="text1"/>
                <w:sz w:val="24"/>
                <w:szCs w:val="21"/>
                <w14:textFill>
                  <w14:solidFill>
                    <w14:schemeClr w14:val="tx1"/>
                  </w14:solidFill>
                </w14:textFill>
              </w:rPr>
            </w:pPr>
            <w:r>
              <w:rPr>
                <w:rFonts w:hint="eastAsia" w:asciiTheme="minorEastAsia" w:hAnsiTheme="minorEastAsia" w:eastAsiaTheme="minorEastAsia"/>
                <w:b/>
                <w:bCs/>
                <w:color w:val="000000" w:themeColor="text1"/>
                <w:sz w:val="24"/>
                <w:szCs w:val="21"/>
                <w14:textFill>
                  <w14:solidFill>
                    <w14:schemeClr w14:val="tx1"/>
                  </w14:solidFill>
                </w14:textFill>
              </w:rPr>
              <w:t>单价（元）</w:t>
            </w:r>
          </w:p>
        </w:tc>
        <w:tc>
          <w:tcPr>
            <w:tcW w:w="1699" w:type="dxa"/>
            <w:shd w:val="clear" w:color="auto" w:fill="F1F1F1" w:themeFill="background1" w:themeFillShade="F2"/>
            <w:vAlign w:val="center"/>
          </w:tcPr>
          <w:p>
            <w:pPr>
              <w:spacing w:line="360" w:lineRule="exact"/>
              <w:jc w:val="center"/>
              <w:rPr>
                <w:rFonts w:asciiTheme="minorEastAsia" w:hAnsiTheme="minorEastAsia" w:eastAsiaTheme="minorEastAsia"/>
                <w:b/>
                <w:bCs/>
                <w:color w:val="000000" w:themeColor="text1"/>
                <w:sz w:val="24"/>
                <w:szCs w:val="21"/>
                <w14:textFill>
                  <w14:solidFill>
                    <w14:schemeClr w14:val="tx1"/>
                  </w14:solidFill>
                </w14:textFill>
              </w:rPr>
            </w:pPr>
            <w:r>
              <w:rPr>
                <w:rFonts w:hint="eastAsia" w:asciiTheme="minorEastAsia" w:hAnsiTheme="minorEastAsia" w:eastAsiaTheme="minorEastAsia"/>
                <w:b/>
                <w:bCs/>
                <w:color w:val="000000" w:themeColor="text1"/>
                <w:sz w:val="24"/>
                <w:szCs w:val="21"/>
                <w14:textFill>
                  <w14:solidFill>
                    <w14:schemeClr w14:val="tx1"/>
                  </w14:solidFill>
                </w14:textFill>
              </w:rPr>
              <w:t>总价（元）</w:t>
            </w:r>
          </w:p>
        </w:tc>
        <w:tc>
          <w:tcPr>
            <w:tcW w:w="1277" w:type="dxa"/>
            <w:shd w:val="clear" w:color="auto" w:fill="F1F1F1" w:themeFill="background1" w:themeFillShade="F2"/>
            <w:vAlign w:val="center"/>
          </w:tcPr>
          <w:p>
            <w:pPr>
              <w:spacing w:line="360" w:lineRule="exact"/>
              <w:jc w:val="center"/>
              <w:rPr>
                <w:rFonts w:asciiTheme="minorEastAsia" w:hAnsiTheme="minorEastAsia" w:eastAsiaTheme="minorEastAsia"/>
                <w:b/>
                <w:bCs/>
                <w:color w:val="000000" w:themeColor="text1"/>
                <w:sz w:val="24"/>
                <w:szCs w:val="21"/>
                <w14:textFill>
                  <w14:solidFill>
                    <w14:schemeClr w14:val="tx1"/>
                  </w14:solidFill>
                </w14:textFill>
              </w:rPr>
            </w:pPr>
            <w:r>
              <w:rPr>
                <w:rFonts w:hint="eastAsia" w:asciiTheme="minorEastAsia" w:hAnsiTheme="minorEastAsia" w:eastAsiaTheme="minorEastAsia"/>
                <w:b/>
                <w:bCs/>
                <w:color w:val="000000" w:themeColor="text1"/>
                <w:sz w:val="24"/>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exact"/>
        </w:trPr>
        <w:tc>
          <w:tcPr>
            <w:tcW w:w="708"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themeColor="text1"/>
                <w:sz w:val="24"/>
                <w:szCs w:val="21"/>
                <w14:textFill>
                  <w14:solidFill>
                    <w14:schemeClr w14:val="tx1"/>
                  </w14:solidFill>
                </w14:textFill>
              </w:rPr>
              <w:t>1</w:t>
            </w:r>
          </w:p>
        </w:tc>
        <w:tc>
          <w:tcPr>
            <w:tcW w:w="1560" w:type="dxa"/>
            <w:tcBorders>
              <w:righ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994" w:type="dxa"/>
            <w:tcBorders>
              <w:lef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133"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41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69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277"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themeColor="text1"/>
                <w:sz w:val="24"/>
                <w:szCs w:val="21"/>
                <w14:textFill>
                  <w14:solidFill>
                    <w14:schemeClr w14:val="tx1"/>
                  </w14:solidFill>
                </w14:textFill>
              </w:rPr>
              <w:t>2</w:t>
            </w:r>
          </w:p>
        </w:tc>
        <w:tc>
          <w:tcPr>
            <w:tcW w:w="1560" w:type="dxa"/>
            <w:tcBorders>
              <w:righ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994" w:type="dxa"/>
            <w:tcBorders>
              <w:lef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133"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41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69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277"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themeColor="text1"/>
                <w:sz w:val="24"/>
                <w:szCs w:val="21"/>
                <w14:textFill>
                  <w14:solidFill>
                    <w14:schemeClr w14:val="tx1"/>
                  </w14:solidFill>
                </w14:textFill>
              </w:rPr>
              <w:t>3</w:t>
            </w:r>
          </w:p>
        </w:tc>
        <w:tc>
          <w:tcPr>
            <w:tcW w:w="1560" w:type="dxa"/>
            <w:tcBorders>
              <w:righ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994" w:type="dxa"/>
            <w:tcBorders>
              <w:lef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133"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41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69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277"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themeColor="text1"/>
                <w:sz w:val="24"/>
                <w:szCs w:val="21"/>
                <w14:textFill>
                  <w14:solidFill>
                    <w14:schemeClr w14:val="tx1"/>
                  </w14:solidFill>
                </w14:textFill>
              </w:rPr>
              <w:t>4</w:t>
            </w:r>
          </w:p>
        </w:tc>
        <w:tc>
          <w:tcPr>
            <w:tcW w:w="1560" w:type="dxa"/>
            <w:tcBorders>
              <w:righ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994" w:type="dxa"/>
            <w:tcBorders>
              <w:lef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133"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41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69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277"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themeColor="text1"/>
                <w:sz w:val="24"/>
                <w:szCs w:val="21"/>
                <w14:textFill>
                  <w14:solidFill>
                    <w14:schemeClr w14:val="tx1"/>
                  </w14:solidFill>
                </w14:textFill>
              </w:rPr>
              <w:t>5</w:t>
            </w:r>
          </w:p>
        </w:tc>
        <w:tc>
          <w:tcPr>
            <w:tcW w:w="1560" w:type="dxa"/>
            <w:tcBorders>
              <w:righ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994" w:type="dxa"/>
            <w:tcBorders>
              <w:lef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133"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41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699"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c>
          <w:tcPr>
            <w:tcW w:w="1277"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themeColor="text1"/>
                <w:sz w:val="24"/>
                <w:szCs w:val="21"/>
                <w14:textFill>
                  <w14:solidFill>
                    <w14:schemeClr w14:val="tx1"/>
                  </w14:solidFill>
                </w14:textFill>
              </w:rPr>
              <w:t>……</w:t>
            </w:r>
          </w:p>
        </w:tc>
        <w:tc>
          <w:tcPr>
            <w:tcW w:w="1560" w:type="dxa"/>
            <w:tcBorders>
              <w:right w:val="single" w:color="000000" w:sz="4" w:space="0"/>
            </w:tcBorders>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themeColor="text1"/>
                <w:sz w:val="24"/>
                <w:szCs w:val="21"/>
                <w14:textFill>
                  <w14:solidFill>
                    <w14:schemeClr w14:val="tx1"/>
                  </w14:solidFill>
                </w14:textFill>
              </w:rPr>
              <w:t>……</w:t>
            </w:r>
          </w:p>
        </w:tc>
        <w:tc>
          <w:tcPr>
            <w:tcW w:w="994" w:type="dxa"/>
            <w:tcBorders>
              <w:left w:val="single" w:color="000000" w:sz="4" w:space="0"/>
            </w:tcBorders>
            <w:vAlign w:val="center"/>
          </w:tcPr>
          <w:p>
            <w:pPr>
              <w:adjustRightInd w:val="0"/>
              <w:snapToGrid w:val="0"/>
              <w:spacing w:line="360" w:lineRule="exact"/>
              <w:ind w:firstLine="420"/>
              <w:jc w:val="center"/>
              <w:rPr>
                <w:rFonts w:asciiTheme="minorEastAsia" w:hAnsiTheme="minorEastAsia" w:eastAsiaTheme="minorEastAsia"/>
                <w:color w:val="000000" w:themeColor="text1"/>
                <w:sz w:val="24"/>
                <w:szCs w:val="21"/>
                <w:lang w:eastAsia="en-US"/>
                <w14:textFill>
                  <w14:solidFill>
                    <w14:schemeClr w14:val="tx1"/>
                  </w14:solidFill>
                </w14:textFill>
              </w:rPr>
            </w:pPr>
          </w:p>
        </w:tc>
        <w:tc>
          <w:tcPr>
            <w:tcW w:w="1133" w:type="dxa"/>
            <w:vAlign w:val="center"/>
          </w:tcPr>
          <w:p>
            <w:pPr>
              <w:adjustRightInd w:val="0"/>
              <w:snapToGrid w:val="0"/>
              <w:spacing w:line="360" w:lineRule="exact"/>
              <w:ind w:firstLine="420"/>
              <w:jc w:val="center"/>
              <w:rPr>
                <w:rFonts w:asciiTheme="minorEastAsia" w:hAnsiTheme="minorEastAsia" w:eastAsiaTheme="minorEastAsia"/>
                <w:color w:val="000000" w:themeColor="text1"/>
                <w:sz w:val="24"/>
                <w:szCs w:val="21"/>
                <w:lang w:eastAsia="en-US"/>
                <w14:textFill>
                  <w14:solidFill>
                    <w14:schemeClr w14:val="tx1"/>
                  </w14:solidFill>
                </w14:textFill>
              </w:rPr>
            </w:pPr>
          </w:p>
        </w:tc>
        <w:tc>
          <w:tcPr>
            <w:tcW w:w="1419" w:type="dxa"/>
            <w:vAlign w:val="center"/>
          </w:tcPr>
          <w:p>
            <w:pPr>
              <w:adjustRightInd w:val="0"/>
              <w:snapToGrid w:val="0"/>
              <w:spacing w:line="360" w:lineRule="exact"/>
              <w:ind w:firstLine="420"/>
              <w:jc w:val="center"/>
              <w:rPr>
                <w:rFonts w:asciiTheme="minorEastAsia" w:hAnsiTheme="minorEastAsia" w:eastAsiaTheme="minorEastAsia"/>
                <w:color w:val="000000" w:themeColor="text1"/>
                <w:sz w:val="24"/>
                <w:szCs w:val="21"/>
                <w:lang w:eastAsia="en-US"/>
                <w14:textFill>
                  <w14:solidFill>
                    <w14:schemeClr w14:val="tx1"/>
                  </w14:solidFill>
                </w14:textFill>
              </w:rPr>
            </w:pPr>
          </w:p>
        </w:tc>
        <w:tc>
          <w:tcPr>
            <w:tcW w:w="1699" w:type="dxa"/>
            <w:vAlign w:val="center"/>
          </w:tcPr>
          <w:p>
            <w:pPr>
              <w:adjustRightInd w:val="0"/>
              <w:snapToGrid w:val="0"/>
              <w:spacing w:line="360" w:lineRule="exact"/>
              <w:ind w:firstLine="420"/>
              <w:jc w:val="center"/>
              <w:rPr>
                <w:rFonts w:asciiTheme="minorEastAsia" w:hAnsiTheme="minorEastAsia" w:eastAsiaTheme="minorEastAsia"/>
                <w:color w:val="000000" w:themeColor="text1"/>
                <w:sz w:val="24"/>
                <w:szCs w:val="21"/>
                <w:lang w:eastAsia="en-US"/>
                <w14:textFill>
                  <w14:solidFill>
                    <w14:schemeClr w14:val="tx1"/>
                  </w14:solidFill>
                </w14:textFill>
              </w:rPr>
            </w:pPr>
          </w:p>
        </w:tc>
        <w:tc>
          <w:tcPr>
            <w:tcW w:w="1277" w:type="dxa"/>
            <w:vAlign w:val="center"/>
          </w:tcPr>
          <w:p>
            <w:pPr>
              <w:adjustRightInd w:val="0"/>
              <w:snapToGrid w:val="0"/>
              <w:spacing w:line="360" w:lineRule="exact"/>
              <w:ind w:firstLine="420"/>
              <w:jc w:val="center"/>
              <w:rPr>
                <w:rFonts w:asciiTheme="minorEastAsia" w:hAnsiTheme="minorEastAsia" w:eastAsiaTheme="minorEastAsia"/>
                <w:color w:val="000000" w:themeColor="text1"/>
                <w:sz w:val="24"/>
                <w:szCs w:val="21"/>
                <w:lang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5814" w:type="dxa"/>
            <w:gridSpan w:val="5"/>
            <w:vAlign w:val="center"/>
          </w:tcPr>
          <w:p>
            <w:pPr>
              <w:pStyle w:val="125"/>
              <w:adjustRightInd w:val="0"/>
              <w:snapToGrid w:val="0"/>
              <w:spacing w:line="360" w:lineRule="exact"/>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themeColor="text1"/>
                <w:sz w:val="24"/>
                <w:szCs w:val="21"/>
                <w14:textFill>
                  <w14:solidFill>
                    <w14:schemeClr w14:val="tx1"/>
                  </w14:solidFill>
                </w14:textFill>
              </w:rPr>
              <w:t>合计报价</w:t>
            </w:r>
          </w:p>
        </w:tc>
        <w:tc>
          <w:tcPr>
            <w:tcW w:w="1699" w:type="dxa"/>
            <w:vAlign w:val="center"/>
          </w:tcPr>
          <w:p>
            <w:pPr>
              <w:adjustRightInd w:val="0"/>
              <w:snapToGrid w:val="0"/>
              <w:spacing w:line="360" w:lineRule="exact"/>
              <w:ind w:firstLine="420"/>
              <w:jc w:val="center"/>
              <w:rPr>
                <w:rFonts w:asciiTheme="minorEastAsia" w:hAnsiTheme="minorEastAsia" w:eastAsiaTheme="minorEastAsia"/>
                <w:color w:val="000000" w:themeColor="text1"/>
                <w:sz w:val="24"/>
                <w:szCs w:val="21"/>
                <w:lang w:eastAsia="en-US"/>
                <w14:textFill>
                  <w14:solidFill>
                    <w14:schemeClr w14:val="tx1"/>
                  </w14:solidFill>
                </w14:textFill>
              </w:rPr>
            </w:pPr>
          </w:p>
        </w:tc>
        <w:tc>
          <w:tcPr>
            <w:tcW w:w="1277" w:type="dxa"/>
            <w:vAlign w:val="center"/>
          </w:tcPr>
          <w:p>
            <w:pPr>
              <w:adjustRightInd w:val="0"/>
              <w:snapToGrid w:val="0"/>
              <w:spacing w:line="360" w:lineRule="exact"/>
              <w:ind w:firstLine="420"/>
              <w:jc w:val="center"/>
              <w:rPr>
                <w:rFonts w:asciiTheme="minorEastAsia" w:hAnsiTheme="minorEastAsia" w:eastAsiaTheme="minorEastAsia"/>
                <w:color w:val="000000" w:themeColor="text1"/>
                <w:sz w:val="24"/>
                <w:szCs w:val="21"/>
                <w:lang w:eastAsia="en-US"/>
                <w14:textFill>
                  <w14:solidFill>
                    <w14:schemeClr w14:val="tx1"/>
                  </w14:solidFill>
                </w14:textFill>
              </w:rPr>
            </w:pPr>
          </w:p>
        </w:tc>
      </w:tr>
    </w:tbl>
    <w:p>
      <w:pPr>
        <w:tabs>
          <w:tab w:val="left" w:pos="1800"/>
          <w:tab w:val="left" w:pos="5580"/>
        </w:tabs>
        <w:spacing w:line="360" w:lineRule="auto"/>
        <w:rPr>
          <w:rFonts w:asciiTheme="minorEastAsia" w:hAnsiTheme="minorEastAsia" w:eastAsiaTheme="minorEastAsia"/>
          <w:bCs/>
          <w:color w:val="000000" w:themeColor="text1"/>
          <w:sz w:val="24"/>
          <w:szCs w:val="21"/>
          <w14:textFill>
            <w14:solidFill>
              <w14:schemeClr w14:val="tx1"/>
            </w14:solidFill>
          </w14:textFill>
        </w:rPr>
      </w:pPr>
    </w:p>
    <w:p>
      <w:pPr>
        <w:spacing w:line="360" w:lineRule="auto"/>
        <w:rPr>
          <w:rFonts w:asciiTheme="minorEastAsia" w:hAnsiTheme="minorEastAsia" w:eastAsiaTheme="minorEastAsia"/>
          <w:bCs/>
          <w:color w:val="000000" w:themeColor="text1"/>
          <w:sz w:val="24"/>
          <w:szCs w:val="21"/>
          <w14:textFill>
            <w14:solidFill>
              <w14:schemeClr w14:val="tx1"/>
            </w14:solidFill>
          </w14:textFill>
        </w:rPr>
      </w:pPr>
      <w:r>
        <w:rPr>
          <w:rFonts w:hint="eastAsia" w:asciiTheme="minorEastAsia" w:hAnsiTheme="minorEastAsia" w:eastAsiaTheme="minorEastAsia"/>
          <w:bCs/>
          <w:color w:val="000000" w:themeColor="text1"/>
          <w:sz w:val="24"/>
          <w:szCs w:val="21"/>
          <w14:textFill>
            <w14:solidFill>
              <w14:schemeClr w14:val="tx1"/>
            </w14:solidFill>
          </w14:textFill>
        </w:rPr>
        <w:t>1、本表中的【合计报价】应与报价函中的【最终报价】保持一致。如果报价函中的最终报价与分项报价表中的内容不一致时，以报价函内容为准。</w:t>
      </w:r>
    </w:p>
    <w:p>
      <w:pPr>
        <w:spacing w:line="360" w:lineRule="auto"/>
        <w:rPr>
          <w:rFonts w:asciiTheme="minorEastAsia" w:hAnsiTheme="minorEastAsia" w:eastAsiaTheme="minorEastAsia"/>
          <w:bCs/>
          <w:color w:val="000000" w:themeColor="text1"/>
          <w:sz w:val="24"/>
          <w:szCs w:val="21"/>
          <w14:textFill>
            <w14:solidFill>
              <w14:schemeClr w14:val="tx1"/>
            </w14:solidFill>
          </w14:textFill>
        </w:rPr>
      </w:pPr>
      <w:r>
        <w:rPr>
          <w:rFonts w:hint="eastAsia" w:asciiTheme="minorEastAsia" w:hAnsiTheme="minorEastAsia" w:eastAsiaTheme="minorEastAsia"/>
          <w:bCs/>
          <w:color w:val="000000" w:themeColor="text1"/>
          <w:sz w:val="24"/>
          <w:szCs w:val="21"/>
          <w14:textFill>
            <w14:solidFill>
              <w14:schemeClr w14:val="tx1"/>
            </w14:solidFill>
          </w14:textFill>
        </w:rPr>
        <w:t>2、本表中，如果单项报价计算的结果与合计总价不一致,以各单项报价为准修正合计总价。</w:t>
      </w:r>
    </w:p>
    <w:p>
      <w:pPr>
        <w:spacing w:line="360" w:lineRule="auto"/>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4"/>
          <w:szCs w:val="21"/>
          <w14:textFill>
            <w14:solidFill>
              <w14:schemeClr w14:val="tx1"/>
            </w14:solidFill>
          </w14:textFill>
        </w:rPr>
        <w:t>3、如果是工程项目，按采购人提供的工程量清单报价。</w:t>
      </w:r>
    </w:p>
    <w:p>
      <w:pPr>
        <w:pStyle w:val="15"/>
        <w:ind w:left="0" w:leftChars="0"/>
        <w:rPr>
          <w:rFonts w:cs="Times New Roman" w:asciiTheme="minorEastAsia" w:hAnsiTheme="minorEastAsia"/>
          <w:color w:val="000000" w:themeColor="text1"/>
          <w14:textFill>
            <w14:solidFill>
              <w14:schemeClr w14:val="tx1"/>
            </w14:solidFill>
          </w14:textFill>
        </w:rPr>
      </w:pPr>
    </w:p>
    <w:p>
      <w:pPr>
        <w:pStyle w:val="15"/>
        <w:ind w:left="480"/>
        <w:rPr>
          <w:rFonts w:cs="Times New Roman" w:asciiTheme="minorEastAsia" w:hAnsiTheme="minorEastAsia"/>
          <w:color w:val="000000" w:themeColor="text1"/>
          <w14:textFill>
            <w14:solidFill>
              <w14:schemeClr w14:val="tx1"/>
            </w14:solidFill>
          </w14:textFill>
        </w:rPr>
        <w:sectPr>
          <w:pgSz w:w="11906" w:h="16838"/>
          <w:pgMar w:top="1701" w:right="1361" w:bottom="1361" w:left="1361" w:header="851" w:footer="992" w:gutter="0"/>
          <w:pgBorders>
            <w:top w:val="none" w:sz="0" w:space="0"/>
            <w:left w:val="none" w:sz="0" w:space="0"/>
            <w:bottom w:val="none" w:sz="0" w:space="0"/>
            <w:right w:val="none" w:sz="0" w:space="0"/>
          </w:pgBorders>
          <w:cols w:space="425" w:num="1"/>
          <w:titlePg/>
          <w:docGrid w:linePitch="381" w:charSpace="0"/>
        </w:sectPr>
      </w:pPr>
    </w:p>
    <w:p>
      <w:pPr>
        <w:pStyle w:val="3"/>
        <w:spacing w:line="360" w:lineRule="auto"/>
        <w:rPr>
          <w:rFonts w:asciiTheme="minorEastAsia" w:hAnsiTheme="minorEastAsia" w:eastAsiaTheme="minorEastAsia"/>
          <w:color w:val="000000" w:themeColor="text1"/>
          <w14:textFill>
            <w14:solidFill>
              <w14:schemeClr w14:val="tx1"/>
            </w14:solidFill>
          </w14:textFill>
        </w:rPr>
      </w:pPr>
      <w:bookmarkStart w:id="1168" w:name="_Toc188638816"/>
      <w:bookmarkStart w:id="1169" w:name="_Toc488063996"/>
      <w:bookmarkStart w:id="1170" w:name="_Toc488646899"/>
      <w:r>
        <w:rPr>
          <w:rFonts w:hint="eastAsia" w:asciiTheme="minorEastAsia" w:hAnsiTheme="minorEastAsia" w:eastAsiaTheme="minorEastAsia"/>
          <w:color w:val="000000" w:themeColor="text1"/>
          <w14:textFill>
            <w14:solidFill>
              <w14:schemeClr w14:val="tx1"/>
            </w14:solidFill>
          </w14:textFill>
        </w:rPr>
        <w:t>附件5：商务条款偏离表</w:t>
      </w:r>
      <w:bookmarkEnd w:id="1168"/>
    </w:p>
    <w:p>
      <w:pPr>
        <w:snapToGrid w:val="0"/>
        <w:spacing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商务条款偏离表</w:t>
      </w:r>
    </w:p>
    <w:p>
      <w:pPr>
        <w:pStyle w:val="13"/>
        <w:spacing w:after="0" w:line="500" w:lineRule="exact"/>
        <w:ind w:left="-2" w:firstLine="480"/>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tbl>
      <w:tblPr>
        <w:tblStyle w:val="33"/>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条目号</w:t>
            </w:r>
          </w:p>
        </w:tc>
        <w:tc>
          <w:tcPr>
            <w:tcW w:w="184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条款要求</w:t>
            </w:r>
          </w:p>
        </w:tc>
        <w:tc>
          <w:tcPr>
            <w:tcW w:w="184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响应情况</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偏离情况</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bl>
    <w:p>
      <w:pPr>
        <w:spacing w:line="440" w:lineRule="exact"/>
        <w:ind w:firstLine="210" w:firstLineChars="1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注：</w:t>
      </w:r>
    </w:p>
    <w:p>
      <w:pPr>
        <w:spacing w:line="440" w:lineRule="exact"/>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1、根据询比文件第四章“合同条款”填写本表，对不满足要求项需列出偏离。</w:t>
      </w:r>
    </w:p>
    <w:p>
      <w:pPr>
        <w:spacing w:line="440" w:lineRule="exact"/>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2、此表为格式表，各供应商可根据情况调整。</w:t>
      </w:r>
    </w:p>
    <w:p>
      <w:pPr>
        <w:spacing w:line="440" w:lineRule="exact"/>
        <w:ind w:firstLine="428"/>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3、如所有商务条款均无偏离，上表中注明“所有商务条款均无偏离”即可， 无需逐条填写。</w:t>
      </w:r>
    </w:p>
    <w:p>
      <w:pPr>
        <w:spacing w:line="440" w:lineRule="exact"/>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在采购人与成交人签订合同时，如成交人未在商务条款偏离表中列出偏离说明，无论即将发生或已发生任何情形，均视为完全符合询比文件要求，并写入合同。若成交人在合同签订前，以上述事项为借口而不履行合同签订手续及执行合同，则视作拒绝与采购人签订合同。</w:t>
      </w: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
        <w:rPr>
          <w:rFonts w:asciiTheme="minorEastAsia" w:hAnsiTheme="minorEastAsia" w:eastAsiaTheme="minorEastAsia"/>
          <w:color w:val="000000" w:themeColor="text1"/>
          <w14:textFill>
            <w14:solidFill>
              <w14:schemeClr w14:val="tx1"/>
            </w14:solidFill>
          </w14:textFill>
        </w:rPr>
      </w:pPr>
      <w:bookmarkStart w:id="1171" w:name="_Toc188638817"/>
      <w:r>
        <w:rPr>
          <w:rFonts w:hint="eastAsia" w:asciiTheme="minorEastAsia" w:hAnsiTheme="minorEastAsia" w:eastAsiaTheme="minorEastAsia"/>
          <w:color w:val="000000" w:themeColor="text1"/>
          <w14:textFill>
            <w14:solidFill>
              <w14:schemeClr w14:val="tx1"/>
            </w14:solidFill>
          </w14:textFill>
        </w:rPr>
        <w:t>附件6：技术偏离表</w:t>
      </w:r>
      <w:bookmarkEnd w:id="1169"/>
      <w:bookmarkEnd w:id="1170"/>
      <w:bookmarkEnd w:id="1171"/>
    </w:p>
    <w:p>
      <w:pPr>
        <w:snapToGrid w:val="0"/>
        <w:spacing w:line="360" w:lineRule="auto"/>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技术偏离表</w:t>
      </w:r>
    </w:p>
    <w:p>
      <w:pPr>
        <w:pStyle w:val="13"/>
        <w:spacing w:after="0" w:line="500" w:lineRule="exact"/>
        <w:ind w:left="0" w:firstLine="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tbl>
      <w:tblPr>
        <w:tblStyle w:val="33"/>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843"/>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6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条目号</w:t>
            </w:r>
          </w:p>
        </w:tc>
        <w:tc>
          <w:tcPr>
            <w:tcW w:w="184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条款要求</w:t>
            </w:r>
          </w:p>
        </w:tc>
        <w:tc>
          <w:tcPr>
            <w:tcW w:w="184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响应情况</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偏离情况</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00" w:lineRule="exact"/>
              <w:jc w:val="center"/>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6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440" w:lineRule="exact"/>
              <w:ind w:firstLine="480"/>
              <w:jc w:val="center"/>
              <w:rPr>
                <w:rFonts w:asciiTheme="minorEastAsia" w:hAnsiTheme="minorEastAsia" w:eastAsiaTheme="minorEastAsia"/>
                <w:color w:val="000000" w:themeColor="text1"/>
                <w14:textFill>
                  <w14:solidFill>
                    <w14:schemeClr w14:val="tx1"/>
                  </w14:solidFill>
                </w14:textFill>
              </w:rPr>
            </w:pPr>
          </w:p>
        </w:tc>
      </w:tr>
    </w:tbl>
    <w:p>
      <w:pPr>
        <w:spacing w:line="480" w:lineRule="exact"/>
        <w:ind w:firstLine="210" w:firstLineChars="1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注：</w:t>
      </w:r>
    </w:p>
    <w:p>
      <w:pPr>
        <w:spacing w:line="440" w:lineRule="exact"/>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1、根据询比文件第五章“技术标准及要求”填写本表，对不满足要求项需列出偏离。</w:t>
      </w:r>
    </w:p>
    <w:p>
      <w:pPr>
        <w:spacing w:line="440" w:lineRule="exact"/>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2、此表为格式表，各供应商可根据情况调整。</w:t>
      </w:r>
    </w:p>
    <w:p>
      <w:pPr>
        <w:spacing w:line="440" w:lineRule="exact"/>
        <w:ind w:firstLine="428"/>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3、如所有技术条款均无偏离，上表中注明“所有技术条款均无偏离”即可， 无需逐条填写。</w:t>
      </w:r>
    </w:p>
    <w:p>
      <w:pPr>
        <w:spacing w:line="440" w:lineRule="exact"/>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在采购人与成交人签订合同时，如成交人未在技术偏离表中列出偏离说明，无论即将发生或已发生任何情形，均视为完全符合询比文件要求，并写入合同。若成交人在合同签订前，以上述事项为借口而不履行合同签订手续及执行合同，则视作拒绝与采购人签订合同。</w:t>
      </w:r>
    </w:p>
    <w:p>
      <w:pPr>
        <w:pStyle w:val="15"/>
        <w:ind w:left="480"/>
        <w:rPr>
          <w:rFonts w:cs="Times New Roman" w:asciiTheme="minorEastAsia" w:hAnsiTheme="minorEastAsia"/>
          <w:color w:val="000000" w:themeColor="text1"/>
          <w:sz w:val="24"/>
          <w:szCs w:val="24"/>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bookmarkEnd w:id="40"/>
    <w:p>
      <w:pPr>
        <w:pStyle w:val="3"/>
        <w:rPr>
          <w:rFonts w:asciiTheme="minorEastAsia" w:hAnsiTheme="minorEastAsia" w:eastAsiaTheme="minorEastAsia"/>
          <w:color w:val="000000" w:themeColor="text1"/>
          <w14:textFill>
            <w14:solidFill>
              <w14:schemeClr w14:val="tx1"/>
            </w14:solidFill>
          </w14:textFill>
        </w:rPr>
      </w:pPr>
      <w:bookmarkStart w:id="1172" w:name="_Toc188638818"/>
      <w:r>
        <w:rPr>
          <w:rFonts w:hint="eastAsia" w:asciiTheme="minorEastAsia" w:hAnsiTheme="minorEastAsia" w:eastAsiaTheme="minorEastAsia"/>
          <w:color w:val="000000" w:themeColor="text1"/>
          <w14:textFill>
            <w14:solidFill>
              <w14:schemeClr w14:val="tx1"/>
            </w14:solidFill>
          </w14:textFill>
        </w:rPr>
        <w:t>附件7：详细的技术响应方案和服务承诺</w:t>
      </w:r>
      <w:bookmarkEnd w:id="1172"/>
    </w:p>
    <w:p>
      <w:pPr>
        <w:spacing w:line="480" w:lineRule="exact"/>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
        <w:rPr>
          <w:rFonts w:asciiTheme="minorEastAsia" w:hAnsiTheme="minorEastAsia" w:eastAsiaTheme="minorEastAsia"/>
          <w:color w:val="000000" w:themeColor="text1"/>
          <w14:textFill>
            <w14:solidFill>
              <w14:schemeClr w14:val="tx1"/>
            </w14:solidFill>
          </w14:textFill>
        </w:rPr>
      </w:pPr>
      <w:bookmarkStart w:id="1173" w:name="_Toc188638819"/>
      <w:r>
        <w:rPr>
          <w:rFonts w:hint="eastAsia" w:asciiTheme="minorEastAsia" w:hAnsiTheme="minorEastAsia" w:eastAsiaTheme="minorEastAsia"/>
          <w:color w:val="000000" w:themeColor="text1"/>
          <w14:textFill>
            <w14:solidFill>
              <w14:schemeClr w14:val="tx1"/>
            </w14:solidFill>
          </w14:textFill>
        </w:rPr>
        <w:t>附件8：询比文件要求的其他资料。</w:t>
      </w:r>
      <w:bookmarkEnd w:id="1173"/>
    </w:p>
    <w:p>
      <w:pPr>
        <w:spacing w:before="120" w:beforeLines="50"/>
        <w:ind w:firstLine="48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供应商须知或评分标准要求的其他内容（格式自拟）。</w:t>
      </w:r>
    </w:p>
    <w:p>
      <w:pPr>
        <w:rPr>
          <w:rFonts w:asciiTheme="minorEastAsia" w:hAnsiTheme="minorEastAsia" w:eastAsiaTheme="minorEastAsia"/>
          <w:color w:val="000000" w:themeColor="text1"/>
          <w14:textFill>
            <w14:solidFill>
              <w14:schemeClr w14:val="tx1"/>
            </w14:solidFill>
          </w14:textFill>
        </w:rPr>
      </w:pPr>
    </w:p>
    <w:p>
      <w:pPr>
        <w:tabs>
          <w:tab w:val="left" w:pos="3870"/>
        </w:tabs>
        <w:ind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ab/>
      </w:r>
    </w:p>
    <w:sectPr>
      <w:pgSz w:w="11906" w:h="16838"/>
      <w:pgMar w:top="1701" w:right="1361" w:bottom="1361" w:left="1361" w:header="851" w:footer="992" w:gutter="0"/>
      <w:pgBorders>
        <w:top w:val="none" w:sz="0" w:space="0"/>
        <w:left w:val="none" w:sz="0" w:space="0"/>
        <w:bottom w:val="none" w:sz="0" w:space="0"/>
        <w:right w:val="none" w:sz="0" w:space="0"/>
      </w:pgBorders>
      <w:cols w:space="425"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E3577AE-7B60-4AE8-8274-3CEF6C76ECA5}"/>
  </w:font>
  <w:font w:name="黑体">
    <w:panose1 w:val="02010609060101010101"/>
    <w:charset w:val="86"/>
    <w:family w:val="auto"/>
    <w:pitch w:val="default"/>
    <w:sig w:usb0="800002BF" w:usb1="38CF7CFA" w:usb2="00000016" w:usb3="00000000" w:csb0="00040001" w:csb1="00000000"/>
    <w:embedRegular r:id="rId2" w:fontKey="{67EEFDAB-F236-4306-8F19-932C035BD9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39B0C91-A1CE-4ECF-BDEF-4EF0CB4C1220}"/>
  </w:font>
  <w:font w:name="monospace">
    <w:altName w:val="Calibri"/>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Georgia">
    <w:panose1 w:val="02040502050405020303"/>
    <w:charset w:val="00"/>
    <w:family w:val="roman"/>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embedRegular r:id="rId4" w:fontKey="{57DA07B2-215B-4523-930B-3A9195B398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rPr>
        <w:rFonts w:ascii="Times New Roman" w:hAnsi="Times New Roman" w:eastAsia="仿宋_GB2312"/>
        <w:sz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3"/>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rPr>
        <w:rFonts w:ascii="Times New Roman" w:hAnsi="Times New Roman" w:eastAsia="仿宋_GB2312"/>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154</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rPr>
        <w:rFonts w:ascii="Times New Roman" w:hAnsi="Times New Roman" w:eastAsia="仿宋_GB2312"/>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157</w:t>
    </w:r>
    <w:r>
      <w:rPr>
        <w:rFonts w:ascii="Times New Roman" w:hAnsi="Times New Roman" w:eastAsia="仿宋_GB2312"/>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154</w:t>
    </w:r>
    <w:r>
      <w:rPr>
        <w:rFonts w:hint="eastAsi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73093"/>
    </w:sdtPr>
    <w:sdtContent>
      <w:p>
        <w:pPr>
          <w:pStyle w:val="23"/>
          <w:ind w:firstLine="360"/>
          <w:jc w:val="center"/>
        </w:pPr>
        <w:r>
          <w:fldChar w:fldCharType="begin"/>
        </w:r>
        <w:r>
          <w:instrText xml:space="preserve">PAGE   \* MERGEFORMAT</w:instrText>
        </w:r>
        <w:r>
          <w:fldChar w:fldCharType="separate"/>
        </w:r>
        <w:r>
          <w:rPr>
            <w:lang w:val="zh-CN"/>
          </w:rPr>
          <w:t>21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94A94"/>
    <w:multiLevelType w:val="singleLevel"/>
    <w:tmpl w:val="DC994A94"/>
    <w:lvl w:ilvl="0" w:tentative="0">
      <w:start w:val="6"/>
      <w:numFmt w:val="decimal"/>
      <w:lvlText w:val="%1."/>
      <w:lvlJc w:val="left"/>
      <w:pPr>
        <w:tabs>
          <w:tab w:val="left" w:pos="312"/>
        </w:tabs>
      </w:pPr>
    </w:lvl>
  </w:abstractNum>
  <w:abstractNum w:abstractNumId="1">
    <w:nsid w:val="E3558A81"/>
    <w:multiLevelType w:val="singleLevel"/>
    <w:tmpl w:val="E3558A81"/>
    <w:lvl w:ilvl="0" w:tentative="0">
      <w:start w:val="4"/>
      <w:numFmt w:val="decimal"/>
      <w:suff w:val="space"/>
      <w:lvlText w:val="%1."/>
      <w:lvlJc w:val="left"/>
    </w:lvl>
  </w:abstractNum>
  <w:abstractNum w:abstractNumId="2">
    <w:nsid w:val="F0A3621C"/>
    <w:multiLevelType w:val="singleLevel"/>
    <w:tmpl w:val="F0A3621C"/>
    <w:lvl w:ilvl="0" w:tentative="0">
      <w:start w:val="6"/>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3EE92060"/>
    <w:multiLevelType w:val="multilevel"/>
    <w:tmpl w:val="3EE92060"/>
    <w:lvl w:ilvl="0" w:tentative="0">
      <w:start w:val="1"/>
      <w:numFmt w:val="decimal"/>
      <w:pStyle w:val="99"/>
      <w:lvlText w:val="（%1）"/>
      <w:lvlJc w:val="left"/>
      <w:pPr>
        <w:ind w:left="1000" w:hanging="440"/>
      </w:pPr>
      <w:rPr>
        <w:rFonts w:hint="eastAsia"/>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7C6B6988"/>
    <w:multiLevelType w:val="multilevel"/>
    <w:tmpl w:val="7C6B698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CFB715B"/>
    <w:multiLevelType w:val="multilevel"/>
    <w:tmpl w:val="7CFB715B"/>
    <w:lvl w:ilvl="0" w:tentative="0">
      <w:start w:val="1"/>
      <w:numFmt w:val="bullet"/>
      <w:lvlText w:val=""/>
      <w:lvlJc w:val="left"/>
      <w:pPr>
        <w:tabs>
          <w:tab w:val="left" w:pos="0"/>
        </w:tabs>
        <w:ind w:left="0" w:firstLine="480"/>
      </w:pPr>
      <w:rPr>
        <w:rFonts w:hint="default" w:ascii="Wingdings" w:hAnsi="Wingdings"/>
      </w:rPr>
    </w:lvl>
    <w:lvl w:ilvl="1" w:tentative="0">
      <w:start w:val="1"/>
      <w:numFmt w:val="bullet"/>
      <w:lvlText w:val=""/>
      <w:lvlJc w:val="left"/>
      <w:pPr>
        <w:tabs>
          <w:tab w:val="left" w:pos="1298"/>
        </w:tabs>
        <w:ind w:left="1298" w:hanging="420"/>
      </w:pPr>
      <w:rPr>
        <w:rFonts w:hint="default" w:ascii="Wingdings" w:hAnsi="Wingdings"/>
      </w:rPr>
    </w:lvl>
    <w:lvl w:ilvl="2" w:tentative="0">
      <w:start w:val="1"/>
      <w:numFmt w:val="bullet"/>
      <w:lvlText w:val=""/>
      <w:lvlJc w:val="left"/>
      <w:pPr>
        <w:tabs>
          <w:tab w:val="left" w:pos="1718"/>
        </w:tabs>
        <w:ind w:left="1718" w:hanging="420"/>
      </w:pPr>
      <w:rPr>
        <w:rFonts w:hint="default" w:ascii="Wingdings" w:hAnsi="Wingdings"/>
      </w:rPr>
    </w:lvl>
    <w:lvl w:ilvl="3" w:tentative="0">
      <w:start w:val="1"/>
      <w:numFmt w:val="bullet"/>
      <w:lvlText w:val=""/>
      <w:lvlJc w:val="left"/>
      <w:pPr>
        <w:tabs>
          <w:tab w:val="left" w:pos="2138"/>
        </w:tabs>
        <w:ind w:left="2138" w:hanging="420"/>
      </w:pPr>
      <w:rPr>
        <w:rFonts w:hint="default" w:ascii="Wingdings" w:hAnsi="Wingdings"/>
      </w:rPr>
    </w:lvl>
    <w:lvl w:ilvl="4" w:tentative="0">
      <w:start w:val="1"/>
      <w:numFmt w:val="bullet"/>
      <w:lvlText w:val=""/>
      <w:lvlJc w:val="left"/>
      <w:pPr>
        <w:tabs>
          <w:tab w:val="left" w:pos="2558"/>
        </w:tabs>
        <w:ind w:left="2558" w:hanging="420"/>
      </w:pPr>
      <w:rPr>
        <w:rFonts w:hint="default" w:ascii="Wingdings" w:hAnsi="Wingdings"/>
      </w:rPr>
    </w:lvl>
    <w:lvl w:ilvl="5" w:tentative="0">
      <w:start w:val="1"/>
      <w:numFmt w:val="bullet"/>
      <w:lvlText w:val=""/>
      <w:lvlJc w:val="left"/>
      <w:pPr>
        <w:tabs>
          <w:tab w:val="left" w:pos="2978"/>
        </w:tabs>
        <w:ind w:left="2978" w:hanging="420"/>
      </w:pPr>
      <w:rPr>
        <w:rFonts w:hint="default" w:ascii="Wingdings" w:hAnsi="Wingdings"/>
      </w:rPr>
    </w:lvl>
    <w:lvl w:ilvl="6" w:tentative="0">
      <w:start w:val="1"/>
      <w:numFmt w:val="bullet"/>
      <w:lvlText w:val=""/>
      <w:lvlJc w:val="left"/>
      <w:pPr>
        <w:tabs>
          <w:tab w:val="left" w:pos="3398"/>
        </w:tabs>
        <w:ind w:left="3398" w:hanging="420"/>
      </w:pPr>
      <w:rPr>
        <w:rFonts w:hint="default" w:ascii="Wingdings" w:hAnsi="Wingdings"/>
      </w:rPr>
    </w:lvl>
    <w:lvl w:ilvl="7" w:tentative="0">
      <w:start w:val="1"/>
      <w:numFmt w:val="bullet"/>
      <w:lvlText w:val=""/>
      <w:lvlJc w:val="left"/>
      <w:pPr>
        <w:tabs>
          <w:tab w:val="left" w:pos="3818"/>
        </w:tabs>
        <w:ind w:left="3818" w:hanging="420"/>
      </w:pPr>
      <w:rPr>
        <w:rFonts w:hint="default" w:ascii="Wingdings" w:hAnsi="Wingdings"/>
      </w:rPr>
    </w:lvl>
    <w:lvl w:ilvl="8" w:tentative="0">
      <w:start w:val="1"/>
      <w:numFmt w:val="bullet"/>
      <w:lvlText w:val=""/>
      <w:lvlJc w:val="left"/>
      <w:pPr>
        <w:tabs>
          <w:tab w:val="left" w:pos="4238"/>
        </w:tabs>
        <w:ind w:left="4238" w:hanging="420"/>
      </w:pPr>
      <w:rPr>
        <w:rFonts w:hint="default" w:ascii="Wingdings" w:hAnsi="Wingdings"/>
      </w:r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revisionView w:markup="0"/>
  <w:trackRevisions w:val="1"/>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MjI1NWJiMjRmNTY3M2U2NzM3M2FhYTYwZTBjMWIifQ=="/>
  </w:docVars>
  <w:rsids>
    <w:rsidRoot w:val="00A41062"/>
    <w:rsid w:val="00001D60"/>
    <w:rsid w:val="00001DC4"/>
    <w:rsid w:val="0000509E"/>
    <w:rsid w:val="00005C74"/>
    <w:rsid w:val="00005E63"/>
    <w:rsid w:val="00006ADA"/>
    <w:rsid w:val="00010105"/>
    <w:rsid w:val="00011E7D"/>
    <w:rsid w:val="000121D7"/>
    <w:rsid w:val="0001505E"/>
    <w:rsid w:val="00015432"/>
    <w:rsid w:val="0001566F"/>
    <w:rsid w:val="00017DA8"/>
    <w:rsid w:val="00020387"/>
    <w:rsid w:val="00021393"/>
    <w:rsid w:val="00021ADA"/>
    <w:rsid w:val="00021F67"/>
    <w:rsid w:val="000234AF"/>
    <w:rsid w:val="00025372"/>
    <w:rsid w:val="000259D6"/>
    <w:rsid w:val="00025DE6"/>
    <w:rsid w:val="000274F8"/>
    <w:rsid w:val="000301D2"/>
    <w:rsid w:val="00031789"/>
    <w:rsid w:val="0003265D"/>
    <w:rsid w:val="00032FF1"/>
    <w:rsid w:val="00033E0F"/>
    <w:rsid w:val="00034E91"/>
    <w:rsid w:val="00035F9A"/>
    <w:rsid w:val="00036904"/>
    <w:rsid w:val="00036B61"/>
    <w:rsid w:val="000405DE"/>
    <w:rsid w:val="0004071D"/>
    <w:rsid w:val="000417FC"/>
    <w:rsid w:val="000420EE"/>
    <w:rsid w:val="00042686"/>
    <w:rsid w:val="000430F4"/>
    <w:rsid w:val="00043394"/>
    <w:rsid w:val="00043724"/>
    <w:rsid w:val="00043E90"/>
    <w:rsid w:val="00044225"/>
    <w:rsid w:val="00044598"/>
    <w:rsid w:val="000448F5"/>
    <w:rsid w:val="00044F85"/>
    <w:rsid w:val="00045830"/>
    <w:rsid w:val="00045AB2"/>
    <w:rsid w:val="00045F9A"/>
    <w:rsid w:val="000461EA"/>
    <w:rsid w:val="00046361"/>
    <w:rsid w:val="00046981"/>
    <w:rsid w:val="00046C38"/>
    <w:rsid w:val="000474EF"/>
    <w:rsid w:val="000477BD"/>
    <w:rsid w:val="00050161"/>
    <w:rsid w:val="00051200"/>
    <w:rsid w:val="0005151B"/>
    <w:rsid w:val="00051709"/>
    <w:rsid w:val="00051E79"/>
    <w:rsid w:val="0005233A"/>
    <w:rsid w:val="00052EC8"/>
    <w:rsid w:val="00054125"/>
    <w:rsid w:val="00056E53"/>
    <w:rsid w:val="00056E77"/>
    <w:rsid w:val="00057387"/>
    <w:rsid w:val="00057431"/>
    <w:rsid w:val="0005765A"/>
    <w:rsid w:val="00057932"/>
    <w:rsid w:val="00060B23"/>
    <w:rsid w:val="000616A6"/>
    <w:rsid w:val="00063B65"/>
    <w:rsid w:val="00063CA1"/>
    <w:rsid w:val="000644C1"/>
    <w:rsid w:val="00065E83"/>
    <w:rsid w:val="00065F95"/>
    <w:rsid w:val="000662E1"/>
    <w:rsid w:val="000667BF"/>
    <w:rsid w:val="0006775B"/>
    <w:rsid w:val="000713B3"/>
    <w:rsid w:val="0007188A"/>
    <w:rsid w:val="00071CED"/>
    <w:rsid w:val="00072795"/>
    <w:rsid w:val="00073AE4"/>
    <w:rsid w:val="00074457"/>
    <w:rsid w:val="000755D3"/>
    <w:rsid w:val="00076DE5"/>
    <w:rsid w:val="00077B46"/>
    <w:rsid w:val="00077CD2"/>
    <w:rsid w:val="0008005E"/>
    <w:rsid w:val="00081D2C"/>
    <w:rsid w:val="00081EBA"/>
    <w:rsid w:val="00081F56"/>
    <w:rsid w:val="00081F6E"/>
    <w:rsid w:val="00082EFD"/>
    <w:rsid w:val="000834A6"/>
    <w:rsid w:val="0008448E"/>
    <w:rsid w:val="000845C8"/>
    <w:rsid w:val="00084A0A"/>
    <w:rsid w:val="00084B3C"/>
    <w:rsid w:val="00085103"/>
    <w:rsid w:val="00086A64"/>
    <w:rsid w:val="00086DA1"/>
    <w:rsid w:val="00087732"/>
    <w:rsid w:val="0009106D"/>
    <w:rsid w:val="00092017"/>
    <w:rsid w:val="0009208B"/>
    <w:rsid w:val="0009286F"/>
    <w:rsid w:val="000931BD"/>
    <w:rsid w:val="00093F64"/>
    <w:rsid w:val="0009472D"/>
    <w:rsid w:val="0009544A"/>
    <w:rsid w:val="00095BCB"/>
    <w:rsid w:val="00096410"/>
    <w:rsid w:val="00096C96"/>
    <w:rsid w:val="00096EB1"/>
    <w:rsid w:val="0009775D"/>
    <w:rsid w:val="000977D1"/>
    <w:rsid w:val="000A0238"/>
    <w:rsid w:val="000A0DC8"/>
    <w:rsid w:val="000A1C47"/>
    <w:rsid w:val="000A260C"/>
    <w:rsid w:val="000A2ADE"/>
    <w:rsid w:val="000A3875"/>
    <w:rsid w:val="000A580C"/>
    <w:rsid w:val="000A6B0B"/>
    <w:rsid w:val="000A7F86"/>
    <w:rsid w:val="000B05C4"/>
    <w:rsid w:val="000B0893"/>
    <w:rsid w:val="000B0977"/>
    <w:rsid w:val="000B0C3C"/>
    <w:rsid w:val="000B1BE7"/>
    <w:rsid w:val="000B2EBC"/>
    <w:rsid w:val="000B331B"/>
    <w:rsid w:val="000B4115"/>
    <w:rsid w:val="000B4EBB"/>
    <w:rsid w:val="000B5316"/>
    <w:rsid w:val="000B6027"/>
    <w:rsid w:val="000B7323"/>
    <w:rsid w:val="000C2F47"/>
    <w:rsid w:val="000C3025"/>
    <w:rsid w:val="000C3746"/>
    <w:rsid w:val="000C3E41"/>
    <w:rsid w:val="000C45A0"/>
    <w:rsid w:val="000C5320"/>
    <w:rsid w:val="000C5486"/>
    <w:rsid w:val="000C5955"/>
    <w:rsid w:val="000D028D"/>
    <w:rsid w:val="000D0518"/>
    <w:rsid w:val="000D1445"/>
    <w:rsid w:val="000D16E6"/>
    <w:rsid w:val="000D38E0"/>
    <w:rsid w:val="000D3BB2"/>
    <w:rsid w:val="000D4589"/>
    <w:rsid w:val="000D4B8E"/>
    <w:rsid w:val="000D5C8B"/>
    <w:rsid w:val="000D6561"/>
    <w:rsid w:val="000D679A"/>
    <w:rsid w:val="000D6EEC"/>
    <w:rsid w:val="000E0E03"/>
    <w:rsid w:val="000E154E"/>
    <w:rsid w:val="000E1AF7"/>
    <w:rsid w:val="000E1F97"/>
    <w:rsid w:val="000E2667"/>
    <w:rsid w:val="000E2FAF"/>
    <w:rsid w:val="000E2FFF"/>
    <w:rsid w:val="000E4A42"/>
    <w:rsid w:val="000E5D71"/>
    <w:rsid w:val="000E61DD"/>
    <w:rsid w:val="000E6C6B"/>
    <w:rsid w:val="000E6F49"/>
    <w:rsid w:val="000E7039"/>
    <w:rsid w:val="000E76A1"/>
    <w:rsid w:val="000F006A"/>
    <w:rsid w:val="000F01FB"/>
    <w:rsid w:val="000F0862"/>
    <w:rsid w:val="000F0EE7"/>
    <w:rsid w:val="000F0F40"/>
    <w:rsid w:val="000F143F"/>
    <w:rsid w:val="000F1925"/>
    <w:rsid w:val="000F263E"/>
    <w:rsid w:val="000F284A"/>
    <w:rsid w:val="000F320E"/>
    <w:rsid w:val="000F3FE1"/>
    <w:rsid w:val="000F4183"/>
    <w:rsid w:val="000F4341"/>
    <w:rsid w:val="000F4BD8"/>
    <w:rsid w:val="000F5598"/>
    <w:rsid w:val="000F5B5E"/>
    <w:rsid w:val="000F68B4"/>
    <w:rsid w:val="000F6AFE"/>
    <w:rsid w:val="000F7970"/>
    <w:rsid w:val="00100835"/>
    <w:rsid w:val="00100D5E"/>
    <w:rsid w:val="0010150E"/>
    <w:rsid w:val="001016C0"/>
    <w:rsid w:val="001019DA"/>
    <w:rsid w:val="00102366"/>
    <w:rsid w:val="0010276F"/>
    <w:rsid w:val="00102960"/>
    <w:rsid w:val="00103029"/>
    <w:rsid w:val="001035FF"/>
    <w:rsid w:val="001050CA"/>
    <w:rsid w:val="001050CE"/>
    <w:rsid w:val="001053B0"/>
    <w:rsid w:val="00105DFE"/>
    <w:rsid w:val="00106406"/>
    <w:rsid w:val="0011096B"/>
    <w:rsid w:val="00110E16"/>
    <w:rsid w:val="00111B33"/>
    <w:rsid w:val="00111D5F"/>
    <w:rsid w:val="00113456"/>
    <w:rsid w:val="00114CC5"/>
    <w:rsid w:val="00115124"/>
    <w:rsid w:val="0011527C"/>
    <w:rsid w:val="00115AB2"/>
    <w:rsid w:val="001168BC"/>
    <w:rsid w:val="001168CD"/>
    <w:rsid w:val="001169BA"/>
    <w:rsid w:val="00116B28"/>
    <w:rsid w:val="00117435"/>
    <w:rsid w:val="00117734"/>
    <w:rsid w:val="00117F58"/>
    <w:rsid w:val="00121192"/>
    <w:rsid w:val="001211E1"/>
    <w:rsid w:val="0012129D"/>
    <w:rsid w:val="0012134D"/>
    <w:rsid w:val="00121734"/>
    <w:rsid w:val="00121A32"/>
    <w:rsid w:val="00121EFB"/>
    <w:rsid w:val="001226F0"/>
    <w:rsid w:val="00122800"/>
    <w:rsid w:val="00122922"/>
    <w:rsid w:val="00124466"/>
    <w:rsid w:val="00124BC9"/>
    <w:rsid w:val="00125F76"/>
    <w:rsid w:val="00126ACD"/>
    <w:rsid w:val="00126C3E"/>
    <w:rsid w:val="00127420"/>
    <w:rsid w:val="001275CA"/>
    <w:rsid w:val="00127C13"/>
    <w:rsid w:val="00127E13"/>
    <w:rsid w:val="00130C8A"/>
    <w:rsid w:val="00130E83"/>
    <w:rsid w:val="0013139E"/>
    <w:rsid w:val="00131737"/>
    <w:rsid w:val="00131797"/>
    <w:rsid w:val="0013232A"/>
    <w:rsid w:val="00133702"/>
    <w:rsid w:val="00133A85"/>
    <w:rsid w:val="00134553"/>
    <w:rsid w:val="00134AA7"/>
    <w:rsid w:val="00134FE9"/>
    <w:rsid w:val="00135EEB"/>
    <w:rsid w:val="00136396"/>
    <w:rsid w:val="00136C51"/>
    <w:rsid w:val="001375BD"/>
    <w:rsid w:val="001379F2"/>
    <w:rsid w:val="001414EE"/>
    <w:rsid w:val="00142143"/>
    <w:rsid w:val="00142998"/>
    <w:rsid w:val="0014321A"/>
    <w:rsid w:val="001433C3"/>
    <w:rsid w:val="0014340A"/>
    <w:rsid w:val="00143BD4"/>
    <w:rsid w:val="0014530D"/>
    <w:rsid w:val="00145D88"/>
    <w:rsid w:val="00146AEC"/>
    <w:rsid w:val="00146CA6"/>
    <w:rsid w:val="00147A0D"/>
    <w:rsid w:val="00147B32"/>
    <w:rsid w:val="00150899"/>
    <w:rsid w:val="0015104D"/>
    <w:rsid w:val="00153C31"/>
    <w:rsid w:val="0015484F"/>
    <w:rsid w:val="00154A3F"/>
    <w:rsid w:val="00154B3D"/>
    <w:rsid w:val="00154FFE"/>
    <w:rsid w:val="001555F1"/>
    <w:rsid w:val="0015577E"/>
    <w:rsid w:val="00155792"/>
    <w:rsid w:val="0015673D"/>
    <w:rsid w:val="00157149"/>
    <w:rsid w:val="00157495"/>
    <w:rsid w:val="001577D6"/>
    <w:rsid w:val="001612AA"/>
    <w:rsid w:val="001623C9"/>
    <w:rsid w:val="001626CB"/>
    <w:rsid w:val="00162D6A"/>
    <w:rsid w:val="00163767"/>
    <w:rsid w:val="001639ED"/>
    <w:rsid w:val="0016470D"/>
    <w:rsid w:val="001652B6"/>
    <w:rsid w:val="0016535B"/>
    <w:rsid w:val="001654FA"/>
    <w:rsid w:val="00166A9D"/>
    <w:rsid w:val="00166B99"/>
    <w:rsid w:val="00167324"/>
    <w:rsid w:val="00167AFA"/>
    <w:rsid w:val="00167FBE"/>
    <w:rsid w:val="00171A0A"/>
    <w:rsid w:val="00173014"/>
    <w:rsid w:val="00174014"/>
    <w:rsid w:val="00174AE1"/>
    <w:rsid w:val="00175317"/>
    <w:rsid w:val="00175654"/>
    <w:rsid w:val="001774AF"/>
    <w:rsid w:val="0018003C"/>
    <w:rsid w:val="00180C4D"/>
    <w:rsid w:val="0018103A"/>
    <w:rsid w:val="00181B2D"/>
    <w:rsid w:val="00183F9F"/>
    <w:rsid w:val="001847DF"/>
    <w:rsid w:val="00184B21"/>
    <w:rsid w:val="00186288"/>
    <w:rsid w:val="00186745"/>
    <w:rsid w:val="0018766F"/>
    <w:rsid w:val="0019072D"/>
    <w:rsid w:val="00190B61"/>
    <w:rsid w:val="00190E16"/>
    <w:rsid w:val="0019180C"/>
    <w:rsid w:val="00192138"/>
    <w:rsid w:val="00192F5E"/>
    <w:rsid w:val="001937AC"/>
    <w:rsid w:val="001948C3"/>
    <w:rsid w:val="00194B06"/>
    <w:rsid w:val="00194EB3"/>
    <w:rsid w:val="001954A0"/>
    <w:rsid w:val="00196170"/>
    <w:rsid w:val="001966B5"/>
    <w:rsid w:val="00196946"/>
    <w:rsid w:val="00197E97"/>
    <w:rsid w:val="001A0226"/>
    <w:rsid w:val="001A15B7"/>
    <w:rsid w:val="001A3E68"/>
    <w:rsid w:val="001A4C21"/>
    <w:rsid w:val="001A5BCF"/>
    <w:rsid w:val="001A6957"/>
    <w:rsid w:val="001A7201"/>
    <w:rsid w:val="001A7948"/>
    <w:rsid w:val="001B0CC7"/>
    <w:rsid w:val="001B0FB5"/>
    <w:rsid w:val="001B1A64"/>
    <w:rsid w:val="001B22E5"/>
    <w:rsid w:val="001B2F26"/>
    <w:rsid w:val="001B30DF"/>
    <w:rsid w:val="001B30E0"/>
    <w:rsid w:val="001B4640"/>
    <w:rsid w:val="001B4E78"/>
    <w:rsid w:val="001B5223"/>
    <w:rsid w:val="001B5338"/>
    <w:rsid w:val="001B5A8D"/>
    <w:rsid w:val="001B686F"/>
    <w:rsid w:val="001B6A54"/>
    <w:rsid w:val="001B6C69"/>
    <w:rsid w:val="001C042B"/>
    <w:rsid w:val="001C132A"/>
    <w:rsid w:val="001C1A7C"/>
    <w:rsid w:val="001C2296"/>
    <w:rsid w:val="001C2D8C"/>
    <w:rsid w:val="001C4278"/>
    <w:rsid w:val="001C593A"/>
    <w:rsid w:val="001C5CF1"/>
    <w:rsid w:val="001D07A4"/>
    <w:rsid w:val="001D0D85"/>
    <w:rsid w:val="001D188A"/>
    <w:rsid w:val="001D260A"/>
    <w:rsid w:val="001D274E"/>
    <w:rsid w:val="001D27C3"/>
    <w:rsid w:val="001D2A79"/>
    <w:rsid w:val="001D2E93"/>
    <w:rsid w:val="001D2F97"/>
    <w:rsid w:val="001D4919"/>
    <w:rsid w:val="001D5191"/>
    <w:rsid w:val="001D775A"/>
    <w:rsid w:val="001E0888"/>
    <w:rsid w:val="001E23AE"/>
    <w:rsid w:val="001E27AB"/>
    <w:rsid w:val="001E3393"/>
    <w:rsid w:val="001E37D8"/>
    <w:rsid w:val="001E3E5B"/>
    <w:rsid w:val="001E5045"/>
    <w:rsid w:val="001E57C5"/>
    <w:rsid w:val="001E5A7B"/>
    <w:rsid w:val="001E5D4F"/>
    <w:rsid w:val="001E5D9E"/>
    <w:rsid w:val="001E6843"/>
    <w:rsid w:val="001E6F51"/>
    <w:rsid w:val="001E722E"/>
    <w:rsid w:val="001E742D"/>
    <w:rsid w:val="001E7945"/>
    <w:rsid w:val="001E7E64"/>
    <w:rsid w:val="001E7EC5"/>
    <w:rsid w:val="001F0A86"/>
    <w:rsid w:val="001F1518"/>
    <w:rsid w:val="001F277E"/>
    <w:rsid w:val="001F3195"/>
    <w:rsid w:val="001F333A"/>
    <w:rsid w:val="001F3A49"/>
    <w:rsid w:val="001F403A"/>
    <w:rsid w:val="001F4229"/>
    <w:rsid w:val="001F465F"/>
    <w:rsid w:val="001F4E5E"/>
    <w:rsid w:val="001F4F4F"/>
    <w:rsid w:val="001F5179"/>
    <w:rsid w:val="001F550F"/>
    <w:rsid w:val="001F5619"/>
    <w:rsid w:val="001F589C"/>
    <w:rsid w:val="001F60C2"/>
    <w:rsid w:val="001F671A"/>
    <w:rsid w:val="001F6891"/>
    <w:rsid w:val="001F68CF"/>
    <w:rsid w:val="001F7A74"/>
    <w:rsid w:val="001F7B82"/>
    <w:rsid w:val="002003CA"/>
    <w:rsid w:val="00200EA4"/>
    <w:rsid w:val="00201B3B"/>
    <w:rsid w:val="0020282A"/>
    <w:rsid w:val="002031A0"/>
    <w:rsid w:val="0020417A"/>
    <w:rsid w:val="002043FF"/>
    <w:rsid w:val="00204ED5"/>
    <w:rsid w:val="00204FB3"/>
    <w:rsid w:val="0020508F"/>
    <w:rsid w:val="00206B4E"/>
    <w:rsid w:val="00206F9C"/>
    <w:rsid w:val="00207087"/>
    <w:rsid w:val="0020733F"/>
    <w:rsid w:val="0020758A"/>
    <w:rsid w:val="00207E7C"/>
    <w:rsid w:val="00207F2D"/>
    <w:rsid w:val="00210306"/>
    <w:rsid w:val="00211C69"/>
    <w:rsid w:val="00213657"/>
    <w:rsid w:val="00215025"/>
    <w:rsid w:val="002158AD"/>
    <w:rsid w:val="0021642F"/>
    <w:rsid w:val="002178EF"/>
    <w:rsid w:val="0022018D"/>
    <w:rsid w:val="00222119"/>
    <w:rsid w:val="00222697"/>
    <w:rsid w:val="00226175"/>
    <w:rsid w:val="0022749F"/>
    <w:rsid w:val="002274E5"/>
    <w:rsid w:val="00227E41"/>
    <w:rsid w:val="002308DB"/>
    <w:rsid w:val="002316E7"/>
    <w:rsid w:val="00231F01"/>
    <w:rsid w:val="00232350"/>
    <w:rsid w:val="002325CC"/>
    <w:rsid w:val="002326FD"/>
    <w:rsid w:val="00232E1D"/>
    <w:rsid w:val="00236849"/>
    <w:rsid w:val="00236899"/>
    <w:rsid w:val="00236D18"/>
    <w:rsid w:val="0023751E"/>
    <w:rsid w:val="00237A80"/>
    <w:rsid w:val="002405B6"/>
    <w:rsid w:val="00240B3D"/>
    <w:rsid w:val="00240D8B"/>
    <w:rsid w:val="00243E2A"/>
    <w:rsid w:val="00244C60"/>
    <w:rsid w:val="00244DA7"/>
    <w:rsid w:val="00246348"/>
    <w:rsid w:val="002478DE"/>
    <w:rsid w:val="00247F8F"/>
    <w:rsid w:val="002503AC"/>
    <w:rsid w:val="00250FC1"/>
    <w:rsid w:val="00251AD7"/>
    <w:rsid w:val="00251FD6"/>
    <w:rsid w:val="00252C6B"/>
    <w:rsid w:val="002530E8"/>
    <w:rsid w:val="00254CA7"/>
    <w:rsid w:val="00256357"/>
    <w:rsid w:val="00256AB8"/>
    <w:rsid w:val="00260C2B"/>
    <w:rsid w:val="00260D48"/>
    <w:rsid w:val="00261290"/>
    <w:rsid w:val="002617A8"/>
    <w:rsid w:val="00261DF7"/>
    <w:rsid w:val="00262A4E"/>
    <w:rsid w:val="00262C98"/>
    <w:rsid w:val="002639AE"/>
    <w:rsid w:val="00263B4C"/>
    <w:rsid w:val="002643D9"/>
    <w:rsid w:val="00264468"/>
    <w:rsid w:val="00264970"/>
    <w:rsid w:val="00264CA1"/>
    <w:rsid w:val="002654EA"/>
    <w:rsid w:val="00265E71"/>
    <w:rsid w:val="0026617B"/>
    <w:rsid w:val="00266258"/>
    <w:rsid w:val="00267D3B"/>
    <w:rsid w:val="00270B53"/>
    <w:rsid w:val="00271905"/>
    <w:rsid w:val="00271948"/>
    <w:rsid w:val="00271B82"/>
    <w:rsid w:val="00271BAD"/>
    <w:rsid w:val="00272FC4"/>
    <w:rsid w:val="0027478A"/>
    <w:rsid w:val="002753F0"/>
    <w:rsid w:val="00276E71"/>
    <w:rsid w:val="002800FB"/>
    <w:rsid w:val="00280254"/>
    <w:rsid w:val="00280E44"/>
    <w:rsid w:val="00281114"/>
    <w:rsid w:val="002811FC"/>
    <w:rsid w:val="00282646"/>
    <w:rsid w:val="0028297D"/>
    <w:rsid w:val="00283426"/>
    <w:rsid w:val="00284D0C"/>
    <w:rsid w:val="00285B07"/>
    <w:rsid w:val="00286800"/>
    <w:rsid w:val="00286DB9"/>
    <w:rsid w:val="00286F52"/>
    <w:rsid w:val="00287410"/>
    <w:rsid w:val="00287A65"/>
    <w:rsid w:val="0029188E"/>
    <w:rsid w:val="00292B94"/>
    <w:rsid w:val="00292F73"/>
    <w:rsid w:val="00293077"/>
    <w:rsid w:val="00294461"/>
    <w:rsid w:val="00294B34"/>
    <w:rsid w:val="00294F71"/>
    <w:rsid w:val="00296F1B"/>
    <w:rsid w:val="002972A2"/>
    <w:rsid w:val="002A0AA4"/>
    <w:rsid w:val="002A0E41"/>
    <w:rsid w:val="002A1DCC"/>
    <w:rsid w:val="002A2022"/>
    <w:rsid w:val="002A2BFD"/>
    <w:rsid w:val="002A3811"/>
    <w:rsid w:val="002A3C3D"/>
    <w:rsid w:val="002A3F9E"/>
    <w:rsid w:val="002A653E"/>
    <w:rsid w:val="002B0082"/>
    <w:rsid w:val="002B157B"/>
    <w:rsid w:val="002B1DCB"/>
    <w:rsid w:val="002B1F3B"/>
    <w:rsid w:val="002B2CDB"/>
    <w:rsid w:val="002B34D4"/>
    <w:rsid w:val="002B3754"/>
    <w:rsid w:val="002B495A"/>
    <w:rsid w:val="002B5232"/>
    <w:rsid w:val="002B5475"/>
    <w:rsid w:val="002B5723"/>
    <w:rsid w:val="002B5B76"/>
    <w:rsid w:val="002B6487"/>
    <w:rsid w:val="002B6C06"/>
    <w:rsid w:val="002B6E66"/>
    <w:rsid w:val="002B763B"/>
    <w:rsid w:val="002C0C7B"/>
    <w:rsid w:val="002C14C4"/>
    <w:rsid w:val="002C1D57"/>
    <w:rsid w:val="002C1D77"/>
    <w:rsid w:val="002C23D4"/>
    <w:rsid w:val="002C2740"/>
    <w:rsid w:val="002C2E07"/>
    <w:rsid w:val="002C38FE"/>
    <w:rsid w:val="002C399B"/>
    <w:rsid w:val="002C406E"/>
    <w:rsid w:val="002C4334"/>
    <w:rsid w:val="002C4E57"/>
    <w:rsid w:val="002C7992"/>
    <w:rsid w:val="002C7FF8"/>
    <w:rsid w:val="002D06CD"/>
    <w:rsid w:val="002D09AD"/>
    <w:rsid w:val="002D0DE6"/>
    <w:rsid w:val="002D1EDE"/>
    <w:rsid w:val="002D5CB1"/>
    <w:rsid w:val="002D5EFB"/>
    <w:rsid w:val="002E081C"/>
    <w:rsid w:val="002E10C5"/>
    <w:rsid w:val="002E2886"/>
    <w:rsid w:val="002E397C"/>
    <w:rsid w:val="002E3E46"/>
    <w:rsid w:val="002E42DA"/>
    <w:rsid w:val="002E538D"/>
    <w:rsid w:val="002E6AA4"/>
    <w:rsid w:val="002E7A17"/>
    <w:rsid w:val="002F02CA"/>
    <w:rsid w:val="002F2285"/>
    <w:rsid w:val="002F285E"/>
    <w:rsid w:val="002F2DDB"/>
    <w:rsid w:val="002F35A2"/>
    <w:rsid w:val="002F36CD"/>
    <w:rsid w:val="002F3DE1"/>
    <w:rsid w:val="002F4E6F"/>
    <w:rsid w:val="002F4F58"/>
    <w:rsid w:val="002F5579"/>
    <w:rsid w:val="002F565E"/>
    <w:rsid w:val="002F5FE1"/>
    <w:rsid w:val="002F628D"/>
    <w:rsid w:val="002F7BF2"/>
    <w:rsid w:val="00300218"/>
    <w:rsid w:val="00300643"/>
    <w:rsid w:val="0030115A"/>
    <w:rsid w:val="00301457"/>
    <w:rsid w:val="003018A7"/>
    <w:rsid w:val="00301A0B"/>
    <w:rsid w:val="003031DB"/>
    <w:rsid w:val="00304479"/>
    <w:rsid w:val="00304BC8"/>
    <w:rsid w:val="00305261"/>
    <w:rsid w:val="00305997"/>
    <w:rsid w:val="003060E1"/>
    <w:rsid w:val="00306902"/>
    <w:rsid w:val="00306944"/>
    <w:rsid w:val="00306BC4"/>
    <w:rsid w:val="00306D4F"/>
    <w:rsid w:val="0031007B"/>
    <w:rsid w:val="00310710"/>
    <w:rsid w:val="00310EAE"/>
    <w:rsid w:val="00311E88"/>
    <w:rsid w:val="003124CD"/>
    <w:rsid w:val="0031396B"/>
    <w:rsid w:val="00313B44"/>
    <w:rsid w:val="00314829"/>
    <w:rsid w:val="0031541D"/>
    <w:rsid w:val="003159C2"/>
    <w:rsid w:val="00316515"/>
    <w:rsid w:val="00317127"/>
    <w:rsid w:val="00317581"/>
    <w:rsid w:val="00320057"/>
    <w:rsid w:val="00320ACA"/>
    <w:rsid w:val="00321066"/>
    <w:rsid w:val="00321503"/>
    <w:rsid w:val="0032179C"/>
    <w:rsid w:val="003219FD"/>
    <w:rsid w:val="00321AA1"/>
    <w:rsid w:val="00322205"/>
    <w:rsid w:val="003227C4"/>
    <w:rsid w:val="00322936"/>
    <w:rsid w:val="00323CC6"/>
    <w:rsid w:val="003245BB"/>
    <w:rsid w:val="0032481E"/>
    <w:rsid w:val="00326072"/>
    <w:rsid w:val="00326F3C"/>
    <w:rsid w:val="0032707A"/>
    <w:rsid w:val="00327DA0"/>
    <w:rsid w:val="00332BF7"/>
    <w:rsid w:val="003343BB"/>
    <w:rsid w:val="00334549"/>
    <w:rsid w:val="00334803"/>
    <w:rsid w:val="003349CA"/>
    <w:rsid w:val="00334A7A"/>
    <w:rsid w:val="00334DD6"/>
    <w:rsid w:val="00337979"/>
    <w:rsid w:val="003379BF"/>
    <w:rsid w:val="00340009"/>
    <w:rsid w:val="00340837"/>
    <w:rsid w:val="00340A82"/>
    <w:rsid w:val="003413DE"/>
    <w:rsid w:val="003425E9"/>
    <w:rsid w:val="00344136"/>
    <w:rsid w:val="003452EC"/>
    <w:rsid w:val="0034684D"/>
    <w:rsid w:val="00346F5D"/>
    <w:rsid w:val="00350529"/>
    <w:rsid w:val="003507F0"/>
    <w:rsid w:val="00353229"/>
    <w:rsid w:val="00354094"/>
    <w:rsid w:val="00354D76"/>
    <w:rsid w:val="0035534F"/>
    <w:rsid w:val="00356612"/>
    <w:rsid w:val="00357AB6"/>
    <w:rsid w:val="00357AE6"/>
    <w:rsid w:val="00360490"/>
    <w:rsid w:val="00360EEA"/>
    <w:rsid w:val="00362C63"/>
    <w:rsid w:val="00362E74"/>
    <w:rsid w:val="003630CF"/>
    <w:rsid w:val="00363A9C"/>
    <w:rsid w:val="003671E7"/>
    <w:rsid w:val="0036768C"/>
    <w:rsid w:val="00367E8A"/>
    <w:rsid w:val="0037191E"/>
    <w:rsid w:val="00371A23"/>
    <w:rsid w:val="00371A82"/>
    <w:rsid w:val="0037228C"/>
    <w:rsid w:val="00372814"/>
    <w:rsid w:val="00372E15"/>
    <w:rsid w:val="00375968"/>
    <w:rsid w:val="00375DF5"/>
    <w:rsid w:val="00376ACF"/>
    <w:rsid w:val="00376B76"/>
    <w:rsid w:val="00376C2B"/>
    <w:rsid w:val="003774EA"/>
    <w:rsid w:val="003776A6"/>
    <w:rsid w:val="00377FF4"/>
    <w:rsid w:val="00380186"/>
    <w:rsid w:val="00380D27"/>
    <w:rsid w:val="0038157F"/>
    <w:rsid w:val="00381677"/>
    <w:rsid w:val="003828CD"/>
    <w:rsid w:val="0038365E"/>
    <w:rsid w:val="00384989"/>
    <w:rsid w:val="003856BC"/>
    <w:rsid w:val="003872C0"/>
    <w:rsid w:val="0039023E"/>
    <w:rsid w:val="0039140E"/>
    <w:rsid w:val="00391CBA"/>
    <w:rsid w:val="00392BF6"/>
    <w:rsid w:val="00393D5D"/>
    <w:rsid w:val="00394455"/>
    <w:rsid w:val="00394811"/>
    <w:rsid w:val="00395E88"/>
    <w:rsid w:val="003966A5"/>
    <w:rsid w:val="00397CD5"/>
    <w:rsid w:val="003A0250"/>
    <w:rsid w:val="003A0A35"/>
    <w:rsid w:val="003A0CC7"/>
    <w:rsid w:val="003A1353"/>
    <w:rsid w:val="003A2BEA"/>
    <w:rsid w:val="003A3218"/>
    <w:rsid w:val="003A338C"/>
    <w:rsid w:val="003A3961"/>
    <w:rsid w:val="003A44AC"/>
    <w:rsid w:val="003A4B50"/>
    <w:rsid w:val="003A6604"/>
    <w:rsid w:val="003A7361"/>
    <w:rsid w:val="003A7E31"/>
    <w:rsid w:val="003A7EF3"/>
    <w:rsid w:val="003B0590"/>
    <w:rsid w:val="003B1692"/>
    <w:rsid w:val="003B1736"/>
    <w:rsid w:val="003B1743"/>
    <w:rsid w:val="003B1FCB"/>
    <w:rsid w:val="003B2D09"/>
    <w:rsid w:val="003B3035"/>
    <w:rsid w:val="003B31FB"/>
    <w:rsid w:val="003B3B89"/>
    <w:rsid w:val="003B4DB7"/>
    <w:rsid w:val="003B6AC9"/>
    <w:rsid w:val="003B6D60"/>
    <w:rsid w:val="003B7449"/>
    <w:rsid w:val="003C3D34"/>
    <w:rsid w:val="003C491D"/>
    <w:rsid w:val="003C5600"/>
    <w:rsid w:val="003C64AF"/>
    <w:rsid w:val="003C6566"/>
    <w:rsid w:val="003C6765"/>
    <w:rsid w:val="003C6B14"/>
    <w:rsid w:val="003D0596"/>
    <w:rsid w:val="003D0B94"/>
    <w:rsid w:val="003D1035"/>
    <w:rsid w:val="003D1E6A"/>
    <w:rsid w:val="003D1FBF"/>
    <w:rsid w:val="003D2E28"/>
    <w:rsid w:val="003D4355"/>
    <w:rsid w:val="003D46DA"/>
    <w:rsid w:val="003D4B2F"/>
    <w:rsid w:val="003D549A"/>
    <w:rsid w:val="003D56A8"/>
    <w:rsid w:val="003D59C3"/>
    <w:rsid w:val="003D5DCA"/>
    <w:rsid w:val="003D60D3"/>
    <w:rsid w:val="003D621B"/>
    <w:rsid w:val="003D6EA6"/>
    <w:rsid w:val="003D7003"/>
    <w:rsid w:val="003E0100"/>
    <w:rsid w:val="003E06EC"/>
    <w:rsid w:val="003E0FAC"/>
    <w:rsid w:val="003E1954"/>
    <w:rsid w:val="003E25F2"/>
    <w:rsid w:val="003E285F"/>
    <w:rsid w:val="003E3EA7"/>
    <w:rsid w:val="003E4749"/>
    <w:rsid w:val="003E4D10"/>
    <w:rsid w:val="003E57AA"/>
    <w:rsid w:val="003E6035"/>
    <w:rsid w:val="003E60A4"/>
    <w:rsid w:val="003E6745"/>
    <w:rsid w:val="003E688E"/>
    <w:rsid w:val="003E714D"/>
    <w:rsid w:val="003F0DAF"/>
    <w:rsid w:val="003F1F11"/>
    <w:rsid w:val="003F2801"/>
    <w:rsid w:val="003F29F3"/>
    <w:rsid w:val="003F3468"/>
    <w:rsid w:val="003F3C68"/>
    <w:rsid w:val="003F43B8"/>
    <w:rsid w:val="003F4414"/>
    <w:rsid w:val="003F5200"/>
    <w:rsid w:val="003F53F4"/>
    <w:rsid w:val="003F55B4"/>
    <w:rsid w:val="003F611D"/>
    <w:rsid w:val="003F62E8"/>
    <w:rsid w:val="003F663C"/>
    <w:rsid w:val="003F6B55"/>
    <w:rsid w:val="003F749B"/>
    <w:rsid w:val="003F785A"/>
    <w:rsid w:val="00400126"/>
    <w:rsid w:val="00400544"/>
    <w:rsid w:val="004007DE"/>
    <w:rsid w:val="00400D2F"/>
    <w:rsid w:val="00403749"/>
    <w:rsid w:val="00404326"/>
    <w:rsid w:val="00405951"/>
    <w:rsid w:val="004059BE"/>
    <w:rsid w:val="00406ECA"/>
    <w:rsid w:val="004076AF"/>
    <w:rsid w:val="00410270"/>
    <w:rsid w:val="004108D1"/>
    <w:rsid w:val="004112BD"/>
    <w:rsid w:val="00412049"/>
    <w:rsid w:val="00412F84"/>
    <w:rsid w:val="0041307A"/>
    <w:rsid w:val="004132DE"/>
    <w:rsid w:val="004136C2"/>
    <w:rsid w:val="004137D5"/>
    <w:rsid w:val="00413AE4"/>
    <w:rsid w:val="004143A1"/>
    <w:rsid w:val="00415516"/>
    <w:rsid w:val="00415CB0"/>
    <w:rsid w:val="004162DD"/>
    <w:rsid w:val="004167A7"/>
    <w:rsid w:val="00417034"/>
    <w:rsid w:val="00417469"/>
    <w:rsid w:val="00417BFA"/>
    <w:rsid w:val="004207DF"/>
    <w:rsid w:val="0042172B"/>
    <w:rsid w:val="00421C55"/>
    <w:rsid w:val="00421D62"/>
    <w:rsid w:val="004233C2"/>
    <w:rsid w:val="00423F45"/>
    <w:rsid w:val="00425D7C"/>
    <w:rsid w:val="004261DE"/>
    <w:rsid w:val="00426336"/>
    <w:rsid w:val="00426C2C"/>
    <w:rsid w:val="004275CD"/>
    <w:rsid w:val="00431F99"/>
    <w:rsid w:val="00432518"/>
    <w:rsid w:val="00432AF2"/>
    <w:rsid w:val="00433CAF"/>
    <w:rsid w:val="00434016"/>
    <w:rsid w:val="00434457"/>
    <w:rsid w:val="004360E1"/>
    <w:rsid w:val="00436102"/>
    <w:rsid w:val="004365DD"/>
    <w:rsid w:val="004374C2"/>
    <w:rsid w:val="004404FD"/>
    <w:rsid w:val="004407B1"/>
    <w:rsid w:val="00440990"/>
    <w:rsid w:val="00440E9A"/>
    <w:rsid w:val="00441AB1"/>
    <w:rsid w:val="00442112"/>
    <w:rsid w:val="00442D6B"/>
    <w:rsid w:val="00442E7B"/>
    <w:rsid w:val="0044343C"/>
    <w:rsid w:val="00443B10"/>
    <w:rsid w:val="00443F24"/>
    <w:rsid w:val="00444E05"/>
    <w:rsid w:val="004452DD"/>
    <w:rsid w:val="00445332"/>
    <w:rsid w:val="00445BB4"/>
    <w:rsid w:val="0044675F"/>
    <w:rsid w:val="00447988"/>
    <w:rsid w:val="004479A9"/>
    <w:rsid w:val="00447C44"/>
    <w:rsid w:val="004505EF"/>
    <w:rsid w:val="00450821"/>
    <w:rsid w:val="00450AA7"/>
    <w:rsid w:val="0045236F"/>
    <w:rsid w:val="00453C2F"/>
    <w:rsid w:val="004540F1"/>
    <w:rsid w:val="0045437E"/>
    <w:rsid w:val="004546A4"/>
    <w:rsid w:val="00454ACE"/>
    <w:rsid w:val="004610AE"/>
    <w:rsid w:val="004611DB"/>
    <w:rsid w:val="00461202"/>
    <w:rsid w:val="0046176A"/>
    <w:rsid w:val="0046207D"/>
    <w:rsid w:val="004625ED"/>
    <w:rsid w:val="004640AC"/>
    <w:rsid w:val="00466976"/>
    <w:rsid w:val="00466D3B"/>
    <w:rsid w:val="004671CF"/>
    <w:rsid w:val="00467CF0"/>
    <w:rsid w:val="00467E97"/>
    <w:rsid w:val="004708C8"/>
    <w:rsid w:val="00470FC6"/>
    <w:rsid w:val="00473177"/>
    <w:rsid w:val="004741C0"/>
    <w:rsid w:val="00474B8B"/>
    <w:rsid w:val="00474D25"/>
    <w:rsid w:val="00474FAC"/>
    <w:rsid w:val="00475772"/>
    <w:rsid w:val="00480101"/>
    <w:rsid w:val="004810A8"/>
    <w:rsid w:val="00481E3C"/>
    <w:rsid w:val="0048253E"/>
    <w:rsid w:val="00483909"/>
    <w:rsid w:val="00485334"/>
    <w:rsid w:val="00485E1A"/>
    <w:rsid w:val="00487CC5"/>
    <w:rsid w:val="00487E31"/>
    <w:rsid w:val="00490F41"/>
    <w:rsid w:val="00491F24"/>
    <w:rsid w:val="0049292D"/>
    <w:rsid w:val="004932F1"/>
    <w:rsid w:val="00493405"/>
    <w:rsid w:val="00494386"/>
    <w:rsid w:val="00494882"/>
    <w:rsid w:val="00494E16"/>
    <w:rsid w:val="004959C1"/>
    <w:rsid w:val="004962AD"/>
    <w:rsid w:val="00496AD8"/>
    <w:rsid w:val="00497295"/>
    <w:rsid w:val="00497656"/>
    <w:rsid w:val="00497D0B"/>
    <w:rsid w:val="004A05DF"/>
    <w:rsid w:val="004A143E"/>
    <w:rsid w:val="004A23A8"/>
    <w:rsid w:val="004A32D8"/>
    <w:rsid w:val="004A344D"/>
    <w:rsid w:val="004A4162"/>
    <w:rsid w:val="004A4242"/>
    <w:rsid w:val="004A445E"/>
    <w:rsid w:val="004A5441"/>
    <w:rsid w:val="004A5B8D"/>
    <w:rsid w:val="004A6CE9"/>
    <w:rsid w:val="004A6D87"/>
    <w:rsid w:val="004A7DDF"/>
    <w:rsid w:val="004B04AA"/>
    <w:rsid w:val="004B0AB5"/>
    <w:rsid w:val="004B0C77"/>
    <w:rsid w:val="004B0FAF"/>
    <w:rsid w:val="004B23C8"/>
    <w:rsid w:val="004B31F8"/>
    <w:rsid w:val="004B3814"/>
    <w:rsid w:val="004B3B52"/>
    <w:rsid w:val="004B3C0B"/>
    <w:rsid w:val="004B3D59"/>
    <w:rsid w:val="004B3DCB"/>
    <w:rsid w:val="004B4646"/>
    <w:rsid w:val="004B4E87"/>
    <w:rsid w:val="004B597B"/>
    <w:rsid w:val="004B68AB"/>
    <w:rsid w:val="004B7661"/>
    <w:rsid w:val="004B7A1E"/>
    <w:rsid w:val="004B7C1F"/>
    <w:rsid w:val="004C0BB9"/>
    <w:rsid w:val="004C14DF"/>
    <w:rsid w:val="004C2400"/>
    <w:rsid w:val="004C27FF"/>
    <w:rsid w:val="004C2E88"/>
    <w:rsid w:val="004C2F80"/>
    <w:rsid w:val="004C323D"/>
    <w:rsid w:val="004C328D"/>
    <w:rsid w:val="004C392B"/>
    <w:rsid w:val="004C3BAE"/>
    <w:rsid w:val="004C4F40"/>
    <w:rsid w:val="004C51E9"/>
    <w:rsid w:val="004C6384"/>
    <w:rsid w:val="004C6773"/>
    <w:rsid w:val="004C7519"/>
    <w:rsid w:val="004C7857"/>
    <w:rsid w:val="004D16F1"/>
    <w:rsid w:val="004D1B14"/>
    <w:rsid w:val="004D357C"/>
    <w:rsid w:val="004D384D"/>
    <w:rsid w:val="004D450C"/>
    <w:rsid w:val="004D45FB"/>
    <w:rsid w:val="004D4834"/>
    <w:rsid w:val="004D6E1D"/>
    <w:rsid w:val="004D7460"/>
    <w:rsid w:val="004D76C9"/>
    <w:rsid w:val="004D796A"/>
    <w:rsid w:val="004E0227"/>
    <w:rsid w:val="004E0434"/>
    <w:rsid w:val="004E21AF"/>
    <w:rsid w:val="004E22E0"/>
    <w:rsid w:val="004E28C3"/>
    <w:rsid w:val="004E347E"/>
    <w:rsid w:val="004E39D4"/>
    <w:rsid w:val="004E3BA6"/>
    <w:rsid w:val="004E472C"/>
    <w:rsid w:val="004E552F"/>
    <w:rsid w:val="004E5BBE"/>
    <w:rsid w:val="004E7922"/>
    <w:rsid w:val="004E7F8C"/>
    <w:rsid w:val="004F0146"/>
    <w:rsid w:val="004F2B4C"/>
    <w:rsid w:val="004F2D9C"/>
    <w:rsid w:val="004F32B5"/>
    <w:rsid w:val="004F3B68"/>
    <w:rsid w:val="004F49C5"/>
    <w:rsid w:val="004F4B6F"/>
    <w:rsid w:val="004F5D66"/>
    <w:rsid w:val="004F687D"/>
    <w:rsid w:val="004F759E"/>
    <w:rsid w:val="004F767A"/>
    <w:rsid w:val="00500CF7"/>
    <w:rsid w:val="00503F7A"/>
    <w:rsid w:val="005042E6"/>
    <w:rsid w:val="00504312"/>
    <w:rsid w:val="00504593"/>
    <w:rsid w:val="00504F46"/>
    <w:rsid w:val="00505809"/>
    <w:rsid w:val="00505B93"/>
    <w:rsid w:val="00506B46"/>
    <w:rsid w:val="00507F1D"/>
    <w:rsid w:val="00511228"/>
    <w:rsid w:val="005115EF"/>
    <w:rsid w:val="00512FCD"/>
    <w:rsid w:val="005136CB"/>
    <w:rsid w:val="00515988"/>
    <w:rsid w:val="00515C40"/>
    <w:rsid w:val="00516496"/>
    <w:rsid w:val="00520A49"/>
    <w:rsid w:val="00520A78"/>
    <w:rsid w:val="00520CC7"/>
    <w:rsid w:val="00520D49"/>
    <w:rsid w:val="00522172"/>
    <w:rsid w:val="0052243E"/>
    <w:rsid w:val="00522CFA"/>
    <w:rsid w:val="005251B8"/>
    <w:rsid w:val="0052709B"/>
    <w:rsid w:val="0052787B"/>
    <w:rsid w:val="00527E95"/>
    <w:rsid w:val="00530114"/>
    <w:rsid w:val="00530613"/>
    <w:rsid w:val="00530821"/>
    <w:rsid w:val="0053110D"/>
    <w:rsid w:val="0053132A"/>
    <w:rsid w:val="005314A9"/>
    <w:rsid w:val="0053152C"/>
    <w:rsid w:val="00533B07"/>
    <w:rsid w:val="005346FA"/>
    <w:rsid w:val="00534F2B"/>
    <w:rsid w:val="005361CD"/>
    <w:rsid w:val="00536E65"/>
    <w:rsid w:val="00536FD2"/>
    <w:rsid w:val="00537F40"/>
    <w:rsid w:val="005401AF"/>
    <w:rsid w:val="0054056F"/>
    <w:rsid w:val="00540685"/>
    <w:rsid w:val="005409A0"/>
    <w:rsid w:val="00540A3F"/>
    <w:rsid w:val="0054334A"/>
    <w:rsid w:val="00543CFC"/>
    <w:rsid w:val="005444AA"/>
    <w:rsid w:val="00544C9B"/>
    <w:rsid w:val="00547299"/>
    <w:rsid w:val="005474F1"/>
    <w:rsid w:val="00550636"/>
    <w:rsid w:val="0055093D"/>
    <w:rsid w:val="00550FC9"/>
    <w:rsid w:val="00551B7A"/>
    <w:rsid w:val="0055217F"/>
    <w:rsid w:val="005529B6"/>
    <w:rsid w:val="00552F73"/>
    <w:rsid w:val="0055351C"/>
    <w:rsid w:val="00553A28"/>
    <w:rsid w:val="00553BDE"/>
    <w:rsid w:val="00553CC9"/>
    <w:rsid w:val="0055431E"/>
    <w:rsid w:val="005545D0"/>
    <w:rsid w:val="005559BF"/>
    <w:rsid w:val="00555D13"/>
    <w:rsid w:val="00556EA2"/>
    <w:rsid w:val="0055777C"/>
    <w:rsid w:val="005577DE"/>
    <w:rsid w:val="00557C22"/>
    <w:rsid w:val="00557D39"/>
    <w:rsid w:val="00560648"/>
    <w:rsid w:val="00560C6D"/>
    <w:rsid w:val="00561004"/>
    <w:rsid w:val="00561232"/>
    <w:rsid w:val="0056211E"/>
    <w:rsid w:val="00563052"/>
    <w:rsid w:val="00563AF1"/>
    <w:rsid w:val="00563E2E"/>
    <w:rsid w:val="005653B1"/>
    <w:rsid w:val="00565549"/>
    <w:rsid w:val="00566449"/>
    <w:rsid w:val="005718B1"/>
    <w:rsid w:val="005725B6"/>
    <w:rsid w:val="00573138"/>
    <w:rsid w:val="00574A15"/>
    <w:rsid w:val="00574AA9"/>
    <w:rsid w:val="00574B67"/>
    <w:rsid w:val="00574F6E"/>
    <w:rsid w:val="005817AD"/>
    <w:rsid w:val="005818E3"/>
    <w:rsid w:val="00582062"/>
    <w:rsid w:val="005821F0"/>
    <w:rsid w:val="00582A28"/>
    <w:rsid w:val="00583113"/>
    <w:rsid w:val="005832C2"/>
    <w:rsid w:val="00583402"/>
    <w:rsid w:val="0058387F"/>
    <w:rsid w:val="00583C93"/>
    <w:rsid w:val="0058401D"/>
    <w:rsid w:val="005840FA"/>
    <w:rsid w:val="00584BB9"/>
    <w:rsid w:val="00584F76"/>
    <w:rsid w:val="00585465"/>
    <w:rsid w:val="00586C57"/>
    <w:rsid w:val="00587761"/>
    <w:rsid w:val="00590D18"/>
    <w:rsid w:val="00591D56"/>
    <w:rsid w:val="00593152"/>
    <w:rsid w:val="005940D9"/>
    <w:rsid w:val="00594CAD"/>
    <w:rsid w:val="00595B9B"/>
    <w:rsid w:val="00595E93"/>
    <w:rsid w:val="00596DCC"/>
    <w:rsid w:val="0059761A"/>
    <w:rsid w:val="00597B43"/>
    <w:rsid w:val="005A0534"/>
    <w:rsid w:val="005A1148"/>
    <w:rsid w:val="005A1176"/>
    <w:rsid w:val="005A1B58"/>
    <w:rsid w:val="005A2B5D"/>
    <w:rsid w:val="005A2C47"/>
    <w:rsid w:val="005A3D17"/>
    <w:rsid w:val="005A52AA"/>
    <w:rsid w:val="005A61FD"/>
    <w:rsid w:val="005A62C0"/>
    <w:rsid w:val="005A6797"/>
    <w:rsid w:val="005A686E"/>
    <w:rsid w:val="005A6B15"/>
    <w:rsid w:val="005A7669"/>
    <w:rsid w:val="005A7754"/>
    <w:rsid w:val="005A79DD"/>
    <w:rsid w:val="005A7BF2"/>
    <w:rsid w:val="005B2289"/>
    <w:rsid w:val="005B2810"/>
    <w:rsid w:val="005B3EBE"/>
    <w:rsid w:val="005B3FD9"/>
    <w:rsid w:val="005B443A"/>
    <w:rsid w:val="005B4DEF"/>
    <w:rsid w:val="005B7284"/>
    <w:rsid w:val="005B751E"/>
    <w:rsid w:val="005B7753"/>
    <w:rsid w:val="005C0234"/>
    <w:rsid w:val="005C0AF3"/>
    <w:rsid w:val="005C1DD4"/>
    <w:rsid w:val="005C24CA"/>
    <w:rsid w:val="005C340D"/>
    <w:rsid w:val="005C4ABA"/>
    <w:rsid w:val="005C4C22"/>
    <w:rsid w:val="005C4E32"/>
    <w:rsid w:val="005C4EEE"/>
    <w:rsid w:val="005C55BD"/>
    <w:rsid w:val="005C59B3"/>
    <w:rsid w:val="005C59EA"/>
    <w:rsid w:val="005C61D3"/>
    <w:rsid w:val="005C7ABE"/>
    <w:rsid w:val="005D08BC"/>
    <w:rsid w:val="005D16C3"/>
    <w:rsid w:val="005D2ED9"/>
    <w:rsid w:val="005D2FC5"/>
    <w:rsid w:val="005D36CE"/>
    <w:rsid w:val="005D393E"/>
    <w:rsid w:val="005D3FA0"/>
    <w:rsid w:val="005D5665"/>
    <w:rsid w:val="005D5DFD"/>
    <w:rsid w:val="005D6586"/>
    <w:rsid w:val="005D6DCA"/>
    <w:rsid w:val="005D722F"/>
    <w:rsid w:val="005D7DCE"/>
    <w:rsid w:val="005E0B2E"/>
    <w:rsid w:val="005E1DFE"/>
    <w:rsid w:val="005E1FC2"/>
    <w:rsid w:val="005E34FF"/>
    <w:rsid w:val="005E3B23"/>
    <w:rsid w:val="005E48E3"/>
    <w:rsid w:val="005E6B4A"/>
    <w:rsid w:val="005F04B8"/>
    <w:rsid w:val="005F0D44"/>
    <w:rsid w:val="005F2097"/>
    <w:rsid w:val="005F2863"/>
    <w:rsid w:val="005F3A38"/>
    <w:rsid w:val="005F4308"/>
    <w:rsid w:val="005F633A"/>
    <w:rsid w:val="005F63F6"/>
    <w:rsid w:val="005F6840"/>
    <w:rsid w:val="005F6E92"/>
    <w:rsid w:val="005F7147"/>
    <w:rsid w:val="005F7184"/>
    <w:rsid w:val="005F7CC7"/>
    <w:rsid w:val="005F7D33"/>
    <w:rsid w:val="00601051"/>
    <w:rsid w:val="0060205E"/>
    <w:rsid w:val="00602581"/>
    <w:rsid w:val="00602E34"/>
    <w:rsid w:val="00603410"/>
    <w:rsid w:val="00603B89"/>
    <w:rsid w:val="0060481F"/>
    <w:rsid w:val="00604B7B"/>
    <w:rsid w:val="00604D57"/>
    <w:rsid w:val="006050A5"/>
    <w:rsid w:val="0060552C"/>
    <w:rsid w:val="00605E8D"/>
    <w:rsid w:val="0061050A"/>
    <w:rsid w:val="0061088C"/>
    <w:rsid w:val="0061248F"/>
    <w:rsid w:val="00612E64"/>
    <w:rsid w:val="00613B8F"/>
    <w:rsid w:val="00614F53"/>
    <w:rsid w:val="006154E1"/>
    <w:rsid w:val="0061695A"/>
    <w:rsid w:val="00617721"/>
    <w:rsid w:val="00617A1A"/>
    <w:rsid w:val="00617EEB"/>
    <w:rsid w:val="00621451"/>
    <w:rsid w:val="00621750"/>
    <w:rsid w:val="00621C80"/>
    <w:rsid w:val="00622753"/>
    <w:rsid w:val="00622D0A"/>
    <w:rsid w:val="0062337B"/>
    <w:rsid w:val="006238EA"/>
    <w:rsid w:val="00624653"/>
    <w:rsid w:val="00625E2B"/>
    <w:rsid w:val="00625E80"/>
    <w:rsid w:val="00625EB1"/>
    <w:rsid w:val="006264AB"/>
    <w:rsid w:val="00626F0E"/>
    <w:rsid w:val="00630BCC"/>
    <w:rsid w:val="0063108F"/>
    <w:rsid w:val="006319DA"/>
    <w:rsid w:val="006335F5"/>
    <w:rsid w:val="00633EFB"/>
    <w:rsid w:val="00635DF8"/>
    <w:rsid w:val="00637353"/>
    <w:rsid w:val="00642A56"/>
    <w:rsid w:val="00642AB0"/>
    <w:rsid w:val="00642AE3"/>
    <w:rsid w:val="006437FF"/>
    <w:rsid w:val="006441DF"/>
    <w:rsid w:val="00644311"/>
    <w:rsid w:val="00645649"/>
    <w:rsid w:val="00646258"/>
    <w:rsid w:val="00646780"/>
    <w:rsid w:val="00646C3F"/>
    <w:rsid w:val="00647BBC"/>
    <w:rsid w:val="0065136D"/>
    <w:rsid w:val="00651952"/>
    <w:rsid w:val="00652653"/>
    <w:rsid w:val="006534FD"/>
    <w:rsid w:val="00653B68"/>
    <w:rsid w:val="006540D3"/>
    <w:rsid w:val="006541BE"/>
    <w:rsid w:val="006551A6"/>
    <w:rsid w:val="006556F0"/>
    <w:rsid w:val="006560F3"/>
    <w:rsid w:val="00656D73"/>
    <w:rsid w:val="00657A04"/>
    <w:rsid w:val="006607CB"/>
    <w:rsid w:val="00662A8F"/>
    <w:rsid w:val="00663A81"/>
    <w:rsid w:val="00663EAA"/>
    <w:rsid w:val="00663EDA"/>
    <w:rsid w:val="00663F52"/>
    <w:rsid w:val="0066610D"/>
    <w:rsid w:val="0066627F"/>
    <w:rsid w:val="006662DC"/>
    <w:rsid w:val="00666A90"/>
    <w:rsid w:val="00670AFD"/>
    <w:rsid w:val="00670D75"/>
    <w:rsid w:val="00671725"/>
    <w:rsid w:val="0067270B"/>
    <w:rsid w:val="00672941"/>
    <w:rsid w:val="00672C08"/>
    <w:rsid w:val="00673A4A"/>
    <w:rsid w:val="0067500E"/>
    <w:rsid w:val="00675153"/>
    <w:rsid w:val="00675A11"/>
    <w:rsid w:val="00675D30"/>
    <w:rsid w:val="006762F8"/>
    <w:rsid w:val="00676303"/>
    <w:rsid w:val="0068026F"/>
    <w:rsid w:val="006814C2"/>
    <w:rsid w:val="006814EE"/>
    <w:rsid w:val="00681A94"/>
    <w:rsid w:val="00681E68"/>
    <w:rsid w:val="00683072"/>
    <w:rsid w:val="00684CAE"/>
    <w:rsid w:val="00684E61"/>
    <w:rsid w:val="0068600F"/>
    <w:rsid w:val="00687051"/>
    <w:rsid w:val="00687654"/>
    <w:rsid w:val="0068767D"/>
    <w:rsid w:val="0068786C"/>
    <w:rsid w:val="00690A4E"/>
    <w:rsid w:val="00691BB2"/>
    <w:rsid w:val="0069211C"/>
    <w:rsid w:val="00692349"/>
    <w:rsid w:val="006924D5"/>
    <w:rsid w:val="006946AE"/>
    <w:rsid w:val="00694F8E"/>
    <w:rsid w:val="00695655"/>
    <w:rsid w:val="0069588E"/>
    <w:rsid w:val="00695A91"/>
    <w:rsid w:val="00696C62"/>
    <w:rsid w:val="006978FA"/>
    <w:rsid w:val="006A031D"/>
    <w:rsid w:val="006A0C09"/>
    <w:rsid w:val="006A0CA2"/>
    <w:rsid w:val="006A11FD"/>
    <w:rsid w:val="006A1578"/>
    <w:rsid w:val="006A15D2"/>
    <w:rsid w:val="006A21EE"/>
    <w:rsid w:val="006A265B"/>
    <w:rsid w:val="006A2B39"/>
    <w:rsid w:val="006A2B88"/>
    <w:rsid w:val="006A3B77"/>
    <w:rsid w:val="006A4116"/>
    <w:rsid w:val="006A412F"/>
    <w:rsid w:val="006A4F96"/>
    <w:rsid w:val="006A6A0A"/>
    <w:rsid w:val="006B06E5"/>
    <w:rsid w:val="006B0C75"/>
    <w:rsid w:val="006B0ED6"/>
    <w:rsid w:val="006B42F6"/>
    <w:rsid w:val="006B568E"/>
    <w:rsid w:val="006B5937"/>
    <w:rsid w:val="006B5AD4"/>
    <w:rsid w:val="006B5BBB"/>
    <w:rsid w:val="006B6616"/>
    <w:rsid w:val="006B6BBE"/>
    <w:rsid w:val="006B6F0B"/>
    <w:rsid w:val="006B6F5D"/>
    <w:rsid w:val="006C01D2"/>
    <w:rsid w:val="006C027B"/>
    <w:rsid w:val="006C0742"/>
    <w:rsid w:val="006C0E63"/>
    <w:rsid w:val="006C1133"/>
    <w:rsid w:val="006C1CCE"/>
    <w:rsid w:val="006C256B"/>
    <w:rsid w:val="006C2DAA"/>
    <w:rsid w:val="006C35CD"/>
    <w:rsid w:val="006C3784"/>
    <w:rsid w:val="006C5735"/>
    <w:rsid w:val="006C630C"/>
    <w:rsid w:val="006C6BCA"/>
    <w:rsid w:val="006C73F9"/>
    <w:rsid w:val="006D0B2C"/>
    <w:rsid w:val="006D152C"/>
    <w:rsid w:val="006D1CB8"/>
    <w:rsid w:val="006D209C"/>
    <w:rsid w:val="006D59B8"/>
    <w:rsid w:val="006D60AB"/>
    <w:rsid w:val="006D6718"/>
    <w:rsid w:val="006D69B6"/>
    <w:rsid w:val="006D6DB1"/>
    <w:rsid w:val="006D73E6"/>
    <w:rsid w:val="006D769A"/>
    <w:rsid w:val="006D7B7F"/>
    <w:rsid w:val="006E0041"/>
    <w:rsid w:val="006E015B"/>
    <w:rsid w:val="006E0619"/>
    <w:rsid w:val="006E173C"/>
    <w:rsid w:val="006E1791"/>
    <w:rsid w:val="006E2F5A"/>
    <w:rsid w:val="006E332A"/>
    <w:rsid w:val="006E3D34"/>
    <w:rsid w:val="006E4964"/>
    <w:rsid w:val="006E5213"/>
    <w:rsid w:val="006E5886"/>
    <w:rsid w:val="006E5B12"/>
    <w:rsid w:val="006E642A"/>
    <w:rsid w:val="006E6A12"/>
    <w:rsid w:val="006E6AF7"/>
    <w:rsid w:val="006E721D"/>
    <w:rsid w:val="006E7726"/>
    <w:rsid w:val="006F0038"/>
    <w:rsid w:val="006F044C"/>
    <w:rsid w:val="006F089C"/>
    <w:rsid w:val="006F0B39"/>
    <w:rsid w:val="006F13CF"/>
    <w:rsid w:val="006F187F"/>
    <w:rsid w:val="006F1AE9"/>
    <w:rsid w:val="006F24A6"/>
    <w:rsid w:val="006F2C70"/>
    <w:rsid w:val="006F34E3"/>
    <w:rsid w:val="006F3A6E"/>
    <w:rsid w:val="006F3ACA"/>
    <w:rsid w:val="006F4A7E"/>
    <w:rsid w:val="006F7FD9"/>
    <w:rsid w:val="006F7FE3"/>
    <w:rsid w:val="00700701"/>
    <w:rsid w:val="00700855"/>
    <w:rsid w:val="00701213"/>
    <w:rsid w:val="00701A7D"/>
    <w:rsid w:val="00702095"/>
    <w:rsid w:val="00702AE5"/>
    <w:rsid w:val="00703572"/>
    <w:rsid w:val="00703B17"/>
    <w:rsid w:val="00705411"/>
    <w:rsid w:val="0070620A"/>
    <w:rsid w:val="00706359"/>
    <w:rsid w:val="00707F3B"/>
    <w:rsid w:val="00710519"/>
    <w:rsid w:val="0071167A"/>
    <w:rsid w:val="00711CF4"/>
    <w:rsid w:val="007121A0"/>
    <w:rsid w:val="007125C0"/>
    <w:rsid w:val="007130BB"/>
    <w:rsid w:val="0071316B"/>
    <w:rsid w:val="007131CA"/>
    <w:rsid w:val="0071395E"/>
    <w:rsid w:val="00713EFE"/>
    <w:rsid w:val="00714041"/>
    <w:rsid w:val="0071492F"/>
    <w:rsid w:val="0071574D"/>
    <w:rsid w:val="00716BAE"/>
    <w:rsid w:val="00717607"/>
    <w:rsid w:val="00717DCC"/>
    <w:rsid w:val="00717E42"/>
    <w:rsid w:val="007208FF"/>
    <w:rsid w:val="00721E46"/>
    <w:rsid w:val="00722A91"/>
    <w:rsid w:val="00722E03"/>
    <w:rsid w:val="007239DD"/>
    <w:rsid w:val="00724609"/>
    <w:rsid w:val="007246CD"/>
    <w:rsid w:val="00724E9B"/>
    <w:rsid w:val="00725260"/>
    <w:rsid w:val="00726CE9"/>
    <w:rsid w:val="0072760E"/>
    <w:rsid w:val="007309B1"/>
    <w:rsid w:val="00730A8F"/>
    <w:rsid w:val="00730F8C"/>
    <w:rsid w:val="00730FD6"/>
    <w:rsid w:val="0073168D"/>
    <w:rsid w:val="00731BD2"/>
    <w:rsid w:val="00733595"/>
    <w:rsid w:val="00733E6E"/>
    <w:rsid w:val="00734056"/>
    <w:rsid w:val="007409DD"/>
    <w:rsid w:val="00741207"/>
    <w:rsid w:val="00741368"/>
    <w:rsid w:val="007429F8"/>
    <w:rsid w:val="00746919"/>
    <w:rsid w:val="00746950"/>
    <w:rsid w:val="00747695"/>
    <w:rsid w:val="00750753"/>
    <w:rsid w:val="00754C22"/>
    <w:rsid w:val="00755165"/>
    <w:rsid w:val="0075631B"/>
    <w:rsid w:val="00756403"/>
    <w:rsid w:val="0076112D"/>
    <w:rsid w:val="00761326"/>
    <w:rsid w:val="00761603"/>
    <w:rsid w:val="00761A3F"/>
    <w:rsid w:val="007653B2"/>
    <w:rsid w:val="00766523"/>
    <w:rsid w:val="00766571"/>
    <w:rsid w:val="007669C3"/>
    <w:rsid w:val="00766BE6"/>
    <w:rsid w:val="0076733B"/>
    <w:rsid w:val="007673C6"/>
    <w:rsid w:val="0076793A"/>
    <w:rsid w:val="00767DD9"/>
    <w:rsid w:val="00770213"/>
    <w:rsid w:val="00770D51"/>
    <w:rsid w:val="00771449"/>
    <w:rsid w:val="007725B9"/>
    <w:rsid w:val="007737A8"/>
    <w:rsid w:val="00773CB3"/>
    <w:rsid w:val="00774012"/>
    <w:rsid w:val="0077610C"/>
    <w:rsid w:val="0077685E"/>
    <w:rsid w:val="00777300"/>
    <w:rsid w:val="00777698"/>
    <w:rsid w:val="00780575"/>
    <w:rsid w:val="00780CB8"/>
    <w:rsid w:val="00781D18"/>
    <w:rsid w:val="00783E5F"/>
    <w:rsid w:val="007843C4"/>
    <w:rsid w:val="00784D13"/>
    <w:rsid w:val="007856C1"/>
    <w:rsid w:val="007856C5"/>
    <w:rsid w:val="007861B0"/>
    <w:rsid w:val="00787D5E"/>
    <w:rsid w:val="00790120"/>
    <w:rsid w:val="00790461"/>
    <w:rsid w:val="00790C5D"/>
    <w:rsid w:val="00790DE6"/>
    <w:rsid w:val="0079102C"/>
    <w:rsid w:val="00791A8C"/>
    <w:rsid w:val="0079495B"/>
    <w:rsid w:val="007A0D73"/>
    <w:rsid w:val="007A1318"/>
    <w:rsid w:val="007A1907"/>
    <w:rsid w:val="007A1B44"/>
    <w:rsid w:val="007A3B89"/>
    <w:rsid w:val="007A4CC2"/>
    <w:rsid w:val="007A51DB"/>
    <w:rsid w:val="007A6205"/>
    <w:rsid w:val="007A78F5"/>
    <w:rsid w:val="007A7EBE"/>
    <w:rsid w:val="007B0112"/>
    <w:rsid w:val="007B1088"/>
    <w:rsid w:val="007B13FC"/>
    <w:rsid w:val="007B18AE"/>
    <w:rsid w:val="007B1C97"/>
    <w:rsid w:val="007B1F3F"/>
    <w:rsid w:val="007B235A"/>
    <w:rsid w:val="007B2592"/>
    <w:rsid w:val="007B2B63"/>
    <w:rsid w:val="007B317D"/>
    <w:rsid w:val="007B3D64"/>
    <w:rsid w:val="007B5471"/>
    <w:rsid w:val="007B5937"/>
    <w:rsid w:val="007B6B41"/>
    <w:rsid w:val="007B7516"/>
    <w:rsid w:val="007B7645"/>
    <w:rsid w:val="007B7963"/>
    <w:rsid w:val="007B7A14"/>
    <w:rsid w:val="007B7F81"/>
    <w:rsid w:val="007C0A43"/>
    <w:rsid w:val="007C179B"/>
    <w:rsid w:val="007C187D"/>
    <w:rsid w:val="007C29FB"/>
    <w:rsid w:val="007C35BB"/>
    <w:rsid w:val="007C3BEA"/>
    <w:rsid w:val="007C48CB"/>
    <w:rsid w:val="007C585C"/>
    <w:rsid w:val="007C5A28"/>
    <w:rsid w:val="007C5E20"/>
    <w:rsid w:val="007C5E99"/>
    <w:rsid w:val="007C625F"/>
    <w:rsid w:val="007C6263"/>
    <w:rsid w:val="007C6838"/>
    <w:rsid w:val="007C7A66"/>
    <w:rsid w:val="007D0B27"/>
    <w:rsid w:val="007D17A2"/>
    <w:rsid w:val="007D17CA"/>
    <w:rsid w:val="007D1F4D"/>
    <w:rsid w:val="007D20D7"/>
    <w:rsid w:val="007D20D9"/>
    <w:rsid w:val="007D37DD"/>
    <w:rsid w:val="007D4B10"/>
    <w:rsid w:val="007D5DC8"/>
    <w:rsid w:val="007D6AE2"/>
    <w:rsid w:val="007D7858"/>
    <w:rsid w:val="007D785E"/>
    <w:rsid w:val="007D7A56"/>
    <w:rsid w:val="007E0D1E"/>
    <w:rsid w:val="007E17A4"/>
    <w:rsid w:val="007E1ACB"/>
    <w:rsid w:val="007E2631"/>
    <w:rsid w:val="007E2FD2"/>
    <w:rsid w:val="007E56EE"/>
    <w:rsid w:val="007E5B31"/>
    <w:rsid w:val="007E5FBB"/>
    <w:rsid w:val="007E6664"/>
    <w:rsid w:val="007E7930"/>
    <w:rsid w:val="007E793F"/>
    <w:rsid w:val="007F050A"/>
    <w:rsid w:val="007F11DF"/>
    <w:rsid w:val="007F3199"/>
    <w:rsid w:val="007F5D46"/>
    <w:rsid w:val="007F6610"/>
    <w:rsid w:val="007F6677"/>
    <w:rsid w:val="007F7292"/>
    <w:rsid w:val="00800953"/>
    <w:rsid w:val="00801A7C"/>
    <w:rsid w:val="00804020"/>
    <w:rsid w:val="00804762"/>
    <w:rsid w:val="0080561B"/>
    <w:rsid w:val="0080665A"/>
    <w:rsid w:val="008075AF"/>
    <w:rsid w:val="008112BF"/>
    <w:rsid w:val="008120A5"/>
    <w:rsid w:val="0081375E"/>
    <w:rsid w:val="00814206"/>
    <w:rsid w:val="008159B2"/>
    <w:rsid w:val="00815B2D"/>
    <w:rsid w:val="00816D02"/>
    <w:rsid w:val="00817158"/>
    <w:rsid w:val="00820232"/>
    <w:rsid w:val="00820C35"/>
    <w:rsid w:val="00821AF5"/>
    <w:rsid w:val="00821D9C"/>
    <w:rsid w:val="00822017"/>
    <w:rsid w:val="008220EA"/>
    <w:rsid w:val="00822DC0"/>
    <w:rsid w:val="008230CF"/>
    <w:rsid w:val="008235EA"/>
    <w:rsid w:val="008236EB"/>
    <w:rsid w:val="008242F1"/>
    <w:rsid w:val="00824518"/>
    <w:rsid w:val="00824C3B"/>
    <w:rsid w:val="00824E9D"/>
    <w:rsid w:val="00825394"/>
    <w:rsid w:val="00827BAA"/>
    <w:rsid w:val="00827F27"/>
    <w:rsid w:val="00830065"/>
    <w:rsid w:val="0083171F"/>
    <w:rsid w:val="00831C75"/>
    <w:rsid w:val="00831C81"/>
    <w:rsid w:val="00831C9B"/>
    <w:rsid w:val="00831FD6"/>
    <w:rsid w:val="00832CF8"/>
    <w:rsid w:val="00832F6F"/>
    <w:rsid w:val="00834211"/>
    <w:rsid w:val="00834F10"/>
    <w:rsid w:val="0083559E"/>
    <w:rsid w:val="00835ED8"/>
    <w:rsid w:val="008373B2"/>
    <w:rsid w:val="00840BBC"/>
    <w:rsid w:val="00840C36"/>
    <w:rsid w:val="00840F65"/>
    <w:rsid w:val="008417DA"/>
    <w:rsid w:val="00841A47"/>
    <w:rsid w:val="00841FB3"/>
    <w:rsid w:val="00844FDA"/>
    <w:rsid w:val="008455D9"/>
    <w:rsid w:val="00846010"/>
    <w:rsid w:val="008462D8"/>
    <w:rsid w:val="008463BC"/>
    <w:rsid w:val="00846714"/>
    <w:rsid w:val="008472B7"/>
    <w:rsid w:val="008504E2"/>
    <w:rsid w:val="00850518"/>
    <w:rsid w:val="00850A98"/>
    <w:rsid w:val="008513C9"/>
    <w:rsid w:val="008519F9"/>
    <w:rsid w:val="00851C7D"/>
    <w:rsid w:val="008520F3"/>
    <w:rsid w:val="00852116"/>
    <w:rsid w:val="00852B58"/>
    <w:rsid w:val="00853CF4"/>
    <w:rsid w:val="008545EE"/>
    <w:rsid w:val="008547C0"/>
    <w:rsid w:val="0085565E"/>
    <w:rsid w:val="00855808"/>
    <w:rsid w:val="008563FD"/>
    <w:rsid w:val="00856B42"/>
    <w:rsid w:val="00857603"/>
    <w:rsid w:val="00857C29"/>
    <w:rsid w:val="00860932"/>
    <w:rsid w:val="008619C5"/>
    <w:rsid w:val="00863597"/>
    <w:rsid w:val="00865E24"/>
    <w:rsid w:val="008660A8"/>
    <w:rsid w:val="0086683E"/>
    <w:rsid w:val="00866C22"/>
    <w:rsid w:val="00867456"/>
    <w:rsid w:val="00870F59"/>
    <w:rsid w:val="008712D1"/>
    <w:rsid w:val="00871401"/>
    <w:rsid w:val="008727B2"/>
    <w:rsid w:val="00872E7E"/>
    <w:rsid w:val="008733EB"/>
    <w:rsid w:val="008742D9"/>
    <w:rsid w:val="00875318"/>
    <w:rsid w:val="008758E4"/>
    <w:rsid w:val="00875935"/>
    <w:rsid w:val="00875B34"/>
    <w:rsid w:val="00876B8F"/>
    <w:rsid w:val="00876C2E"/>
    <w:rsid w:val="00877706"/>
    <w:rsid w:val="008779EA"/>
    <w:rsid w:val="00877F8A"/>
    <w:rsid w:val="008804E4"/>
    <w:rsid w:val="008826B7"/>
    <w:rsid w:val="00882959"/>
    <w:rsid w:val="00882C45"/>
    <w:rsid w:val="00882F16"/>
    <w:rsid w:val="00882FF7"/>
    <w:rsid w:val="00883A59"/>
    <w:rsid w:val="008840F0"/>
    <w:rsid w:val="00884279"/>
    <w:rsid w:val="00884BB1"/>
    <w:rsid w:val="008852DC"/>
    <w:rsid w:val="008857CC"/>
    <w:rsid w:val="00885D81"/>
    <w:rsid w:val="00885E79"/>
    <w:rsid w:val="008865A6"/>
    <w:rsid w:val="0088675F"/>
    <w:rsid w:val="008868BA"/>
    <w:rsid w:val="0088734D"/>
    <w:rsid w:val="0088797D"/>
    <w:rsid w:val="00890649"/>
    <w:rsid w:val="00890E32"/>
    <w:rsid w:val="00891E94"/>
    <w:rsid w:val="0089220F"/>
    <w:rsid w:val="00892742"/>
    <w:rsid w:val="00892EDC"/>
    <w:rsid w:val="008935C7"/>
    <w:rsid w:val="00893751"/>
    <w:rsid w:val="00895702"/>
    <w:rsid w:val="00896DB8"/>
    <w:rsid w:val="00897D08"/>
    <w:rsid w:val="008A03DC"/>
    <w:rsid w:val="008A1869"/>
    <w:rsid w:val="008A1CA1"/>
    <w:rsid w:val="008A1E5D"/>
    <w:rsid w:val="008A2D9E"/>
    <w:rsid w:val="008A2FF2"/>
    <w:rsid w:val="008A342D"/>
    <w:rsid w:val="008A3C52"/>
    <w:rsid w:val="008A3E38"/>
    <w:rsid w:val="008A41EE"/>
    <w:rsid w:val="008A47CC"/>
    <w:rsid w:val="008A4A86"/>
    <w:rsid w:val="008A4CE9"/>
    <w:rsid w:val="008A6331"/>
    <w:rsid w:val="008A6C9C"/>
    <w:rsid w:val="008A797D"/>
    <w:rsid w:val="008B042D"/>
    <w:rsid w:val="008B16A9"/>
    <w:rsid w:val="008B20F0"/>
    <w:rsid w:val="008B26F7"/>
    <w:rsid w:val="008B3721"/>
    <w:rsid w:val="008B3BB2"/>
    <w:rsid w:val="008B4033"/>
    <w:rsid w:val="008B41DA"/>
    <w:rsid w:val="008B4426"/>
    <w:rsid w:val="008B4CCD"/>
    <w:rsid w:val="008B527C"/>
    <w:rsid w:val="008B5897"/>
    <w:rsid w:val="008B60E8"/>
    <w:rsid w:val="008B65D2"/>
    <w:rsid w:val="008B6E33"/>
    <w:rsid w:val="008B753E"/>
    <w:rsid w:val="008C0751"/>
    <w:rsid w:val="008C0842"/>
    <w:rsid w:val="008C12E5"/>
    <w:rsid w:val="008C277B"/>
    <w:rsid w:val="008C33F8"/>
    <w:rsid w:val="008C3577"/>
    <w:rsid w:val="008C5EBD"/>
    <w:rsid w:val="008C6642"/>
    <w:rsid w:val="008C6ECD"/>
    <w:rsid w:val="008D0C0E"/>
    <w:rsid w:val="008D24A1"/>
    <w:rsid w:val="008D25C9"/>
    <w:rsid w:val="008D31B8"/>
    <w:rsid w:val="008D42AC"/>
    <w:rsid w:val="008D5278"/>
    <w:rsid w:val="008D6468"/>
    <w:rsid w:val="008E0892"/>
    <w:rsid w:val="008E0B86"/>
    <w:rsid w:val="008E324D"/>
    <w:rsid w:val="008E3B39"/>
    <w:rsid w:val="008E452F"/>
    <w:rsid w:val="008E4636"/>
    <w:rsid w:val="008E495F"/>
    <w:rsid w:val="008E5220"/>
    <w:rsid w:val="008E53C8"/>
    <w:rsid w:val="008E5919"/>
    <w:rsid w:val="008E719A"/>
    <w:rsid w:val="008E76EB"/>
    <w:rsid w:val="008E7BF6"/>
    <w:rsid w:val="008E7D6D"/>
    <w:rsid w:val="008F07A3"/>
    <w:rsid w:val="008F07CF"/>
    <w:rsid w:val="008F0C1C"/>
    <w:rsid w:val="008F0F24"/>
    <w:rsid w:val="008F179E"/>
    <w:rsid w:val="008F3633"/>
    <w:rsid w:val="008F493E"/>
    <w:rsid w:val="008F4E0A"/>
    <w:rsid w:val="008F6207"/>
    <w:rsid w:val="008F6446"/>
    <w:rsid w:val="008F6735"/>
    <w:rsid w:val="008F684D"/>
    <w:rsid w:val="008F69F2"/>
    <w:rsid w:val="008F6FA6"/>
    <w:rsid w:val="00900F3D"/>
    <w:rsid w:val="00900F6E"/>
    <w:rsid w:val="00902223"/>
    <w:rsid w:val="00903578"/>
    <w:rsid w:val="009049E4"/>
    <w:rsid w:val="00904F46"/>
    <w:rsid w:val="009050BF"/>
    <w:rsid w:val="00906B12"/>
    <w:rsid w:val="00906E51"/>
    <w:rsid w:val="009133B8"/>
    <w:rsid w:val="009136ED"/>
    <w:rsid w:val="00916473"/>
    <w:rsid w:val="00917CAD"/>
    <w:rsid w:val="009203FD"/>
    <w:rsid w:val="009205C4"/>
    <w:rsid w:val="00920796"/>
    <w:rsid w:val="009225A9"/>
    <w:rsid w:val="00922AAB"/>
    <w:rsid w:val="00926204"/>
    <w:rsid w:val="0092683A"/>
    <w:rsid w:val="00927D06"/>
    <w:rsid w:val="00930486"/>
    <w:rsid w:val="0093260A"/>
    <w:rsid w:val="009326DC"/>
    <w:rsid w:val="00932A54"/>
    <w:rsid w:val="00933206"/>
    <w:rsid w:val="009332D5"/>
    <w:rsid w:val="00933957"/>
    <w:rsid w:val="00933CD2"/>
    <w:rsid w:val="00933FF9"/>
    <w:rsid w:val="00934155"/>
    <w:rsid w:val="009365FE"/>
    <w:rsid w:val="00936915"/>
    <w:rsid w:val="00936D13"/>
    <w:rsid w:val="00937885"/>
    <w:rsid w:val="00937EED"/>
    <w:rsid w:val="00937EF7"/>
    <w:rsid w:val="0094056F"/>
    <w:rsid w:val="009409DD"/>
    <w:rsid w:val="00941269"/>
    <w:rsid w:val="0094387F"/>
    <w:rsid w:val="009440D3"/>
    <w:rsid w:val="009442EF"/>
    <w:rsid w:val="009446C1"/>
    <w:rsid w:val="00944908"/>
    <w:rsid w:val="00944DF7"/>
    <w:rsid w:val="00946858"/>
    <w:rsid w:val="0095008B"/>
    <w:rsid w:val="00950172"/>
    <w:rsid w:val="00952336"/>
    <w:rsid w:val="0095379E"/>
    <w:rsid w:val="00953DF4"/>
    <w:rsid w:val="009547E2"/>
    <w:rsid w:val="00956B90"/>
    <w:rsid w:val="009574AF"/>
    <w:rsid w:val="00957E08"/>
    <w:rsid w:val="00960181"/>
    <w:rsid w:val="00960FB0"/>
    <w:rsid w:val="009619B0"/>
    <w:rsid w:val="00961E9F"/>
    <w:rsid w:val="009620B1"/>
    <w:rsid w:val="009627EC"/>
    <w:rsid w:val="00962802"/>
    <w:rsid w:val="0096341A"/>
    <w:rsid w:val="009647F7"/>
    <w:rsid w:val="009651FF"/>
    <w:rsid w:val="00965652"/>
    <w:rsid w:val="00965C36"/>
    <w:rsid w:val="00965EA0"/>
    <w:rsid w:val="009661A5"/>
    <w:rsid w:val="009672BD"/>
    <w:rsid w:val="00967FC3"/>
    <w:rsid w:val="00970EAC"/>
    <w:rsid w:val="0097101A"/>
    <w:rsid w:val="009722C0"/>
    <w:rsid w:val="00973D4B"/>
    <w:rsid w:val="009748EC"/>
    <w:rsid w:val="00975A08"/>
    <w:rsid w:val="009775D0"/>
    <w:rsid w:val="00980764"/>
    <w:rsid w:val="009812EF"/>
    <w:rsid w:val="009822CA"/>
    <w:rsid w:val="00982F9B"/>
    <w:rsid w:val="00982FAC"/>
    <w:rsid w:val="009853DB"/>
    <w:rsid w:val="009856A6"/>
    <w:rsid w:val="00986EEE"/>
    <w:rsid w:val="00986F9E"/>
    <w:rsid w:val="00991A09"/>
    <w:rsid w:val="0099214B"/>
    <w:rsid w:val="0099228E"/>
    <w:rsid w:val="00992377"/>
    <w:rsid w:val="009938B8"/>
    <w:rsid w:val="00994414"/>
    <w:rsid w:val="0099528C"/>
    <w:rsid w:val="00997044"/>
    <w:rsid w:val="0099754C"/>
    <w:rsid w:val="00997D84"/>
    <w:rsid w:val="009A02EE"/>
    <w:rsid w:val="009A2AE7"/>
    <w:rsid w:val="009A342C"/>
    <w:rsid w:val="009A3ACD"/>
    <w:rsid w:val="009A3AE5"/>
    <w:rsid w:val="009A4CF4"/>
    <w:rsid w:val="009A549E"/>
    <w:rsid w:val="009A5F6E"/>
    <w:rsid w:val="009A7443"/>
    <w:rsid w:val="009B0201"/>
    <w:rsid w:val="009B074A"/>
    <w:rsid w:val="009B075A"/>
    <w:rsid w:val="009B3D69"/>
    <w:rsid w:val="009B4392"/>
    <w:rsid w:val="009B4BDA"/>
    <w:rsid w:val="009B5C9C"/>
    <w:rsid w:val="009B755F"/>
    <w:rsid w:val="009C042E"/>
    <w:rsid w:val="009C28C2"/>
    <w:rsid w:val="009C29A0"/>
    <w:rsid w:val="009C3797"/>
    <w:rsid w:val="009C4287"/>
    <w:rsid w:val="009C44AD"/>
    <w:rsid w:val="009C45A1"/>
    <w:rsid w:val="009C4D42"/>
    <w:rsid w:val="009C59FF"/>
    <w:rsid w:val="009C655E"/>
    <w:rsid w:val="009C6B50"/>
    <w:rsid w:val="009C730E"/>
    <w:rsid w:val="009C73BD"/>
    <w:rsid w:val="009C7776"/>
    <w:rsid w:val="009C7BF3"/>
    <w:rsid w:val="009D01A4"/>
    <w:rsid w:val="009D0538"/>
    <w:rsid w:val="009D0606"/>
    <w:rsid w:val="009D0773"/>
    <w:rsid w:val="009D0F02"/>
    <w:rsid w:val="009D242B"/>
    <w:rsid w:val="009D2E01"/>
    <w:rsid w:val="009D3282"/>
    <w:rsid w:val="009D35F0"/>
    <w:rsid w:val="009D36BB"/>
    <w:rsid w:val="009D39AA"/>
    <w:rsid w:val="009D3C2F"/>
    <w:rsid w:val="009D4394"/>
    <w:rsid w:val="009D4635"/>
    <w:rsid w:val="009D47DD"/>
    <w:rsid w:val="009D5374"/>
    <w:rsid w:val="009D5A41"/>
    <w:rsid w:val="009D5B51"/>
    <w:rsid w:val="009D6D84"/>
    <w:rsid w:val="009D7958"/>
    <w:rsid w:val="009E087B"/>
    <w:rsid w:val="009E234E"/>
    <w:rsid w:val="009E24E5"/>
    <w:rsid w:val="009E2AE5"/>
    <w:rsid w:val="009E2F56"/>
    <w:rsid w:val="009E4EC4"/>
    <w:rsid w:val="009E51A5"/>
    <w:rsid w:val="009E6191"/>
    <w:rsid w:val="009E6F39"/>
    <w:rsid w:val="009F0C88"/>
    <w:rsid w:val="009F125D"/>
    <w:rsid w:val="009F25CE"/>
    <w:rsid w:val="009F2C8A"/>
    <w:rsid w:val="009F48E8"/>
    <w:rsid w:val="009F4B62"/>
    <w:rsid w:val="009F6D89"/>
    <w:rsid w:val="009F7CB6"/>
    <w:rsid w:val="00A00C57"/>
    <w:rsid w:val="00A02561"/>
    <w:rsid w:val="00A02582"/>
    <w:rsid w:val="00A02A27"/>
    <w:rsid w:val="00A0328A"/>
    <w:rsid w:val="00A034BE"/>
    <w:rsid w:val="00A046C9"/>
    <w:rsid w:val="00A0666A"/>
    <w:rsid w:val="00A072BD"/>
    <w:rsid w:val="00A115B9"/>
    <w:rsid w:val="00A12A28"/>
    <w:rsid w:val="00A1524B"/>
    <w:rsid w:val="00A15E48"/>
    <w:rsid w:val="00A16D25"/>
    <w:rsid w:val="00A174AA"/>
    <w:rsid w:val="00A174EC"/>
    <w:rsid w:val="00A211DA"/>
    <w:rsid w:val="00A21273"/>
    <w:rsid w:val="00A2165C"/>
    <w:rsid w:val="00A21D31"/>
    <w:rsid w:val="00A22F34"/>
    <w:rsid w:val="00A23C6F"/>
    <w:rsid w:val="00A24474"/>
    <w:rsid w:val="00A244BE"/>
    <w:rsid w:val="00A24DF2"/>
    <w:rsid w:val="00A25328"/>
    <w:rsid w:val="00A25BCB"/>
    <w:rsid w:val="00A25F8E"/>
    <w:rsid w:val="00A26AA9"/>
    <w:rsid w:val="00A270A3"/>
    <w:rsid w:val="00A30667"/>
    <w:rsid w:val="00A3121B"/>
    <w:rsid w:val="00A313A3"/>
    <w:rsid w:val="00A32014"/>
    <w:rsid w:val="00A32228"/>
    <w:rsid w:val="00A33392"/>
    <w:rsid w:val="00A339BE"/>
    <w:rsid w:val="00A33A15"/>
    <w:rsid w:val="00A34F95"/>
    <w:rsid w:val="00A352CC"/>
    <w:rsid w:val="00A354BB"/>
    <w:rsid w:val="00A3669D"/>
    <w:rsid w:val="00A379C9"/>
    <w:rsid w:val="00A37CD5"/>
    <w:rsid w:val="00A37E9D"/>
    <w:rsid w:val="00A4015D"/>
    <w:rsid w:val="00A4062E"/>
    <w:rsid w:val="00A40AB8"/>
    <w:rsid w:val="00A41062"/>
    <w:rsid w:val="00A411D3"/>
    <w:rsid w:val="00A41386"/>
    <w:rsid w:val="00A424A6"/>
    <w:rsid w:val="00A43D49"/>
    <w:rsid w:val="00A4435F"/>
    <w:rsid w:val="00A44696"/>
    <w:rsid w:val="00A52FAC"/>
    <w:rsid w:val="00A53178"/>
    <w:rsid w:val="00A53A52"/>
    <w:rsid w:val="00A53DF9"/>
    <w:rsid w:val="00A53F65"/>
    <w:rsid w:val="00A553FF"/>
    <w:rsid w:val="00A5585E"/>
    <w:rsid w:val="00A558ED"/>
    <w:rsid w:val="00A56878"/>
    <w:rsid w:val="00A57736"/>
    <w:rsid w:val="00A57C7A"/>
    <w:rsid w:val="00A60632"/>
    <w:rsid w:val="00A60E74"/>
    <w:rsid w:val="00A60EC5"/>
    <w:rsid w:val="00A61650"/>
    <w:rsid w:val="00A619B1"/>
    <w:rsid w:val="00A61BA3"/>
    <w:rsid w:val="00A62FBA"/>
    <w:rsid w:val="00A63306"/>
    <w:rsid w:val="00A63F9F"/>
    <w:rsid w:val="00A6401B"/>
    <w:rsid w:val="00A643EB"/>
    <w:rsid w:val="00A65A3F"/>
    <w:rsid w:val="00A66A4C"/>
    <w:rsid w:val="00A70C29"/>
    <w:rsid w:val="00A70F7F"/>
    <w:rsid w:val="00A720A1"/>
    <w:rsid w:val="00A7229B"/>
    <w:rsid w:val="00A726A9"/>
    <w:rsid w:val="00A72F48"/>
    <w:rsid w:val="00A72FE5"/>
    <w:rsid w:val="00A7436D"/>
    <w:rsid w:val="00A7459F"/>
    <w:rsid w:val="00A74A3B"/>
    <w:rsid w:val="00A76537"/>
    <w:rsid w:val="00A7745F"/>
    <w:rsid w:val="00A777F5"/>
    <w:rsid w:val="00A8016C"/>
    <w:rsid w:val="00A8046B"/>
    <w:rsid w:val="00A80C17"/>
    <w:rsid w:val="00A814D7"/>
    <w:rsid w:val="00A81DDA"/>
    <w:rsid w:val="00A8207C"/>
    <w:rsid w:val="00A83499"/>
    <w:rsid w:val="00A835DF"/>
    <w:rsid w:val="00A8374B"/>
    <w:rsid w:val="00A83A60"/>
    <w:rsid w:val="00A84612"/>
    <w:rsid w:val="00A84C67"/>
    <w:rsid w:val="00A859E1"/>
    <w:rsid w:val="00A86CD6"/>
    <w:rsid w:val="00A91711"/>
    <w:rsid w:val="00A91CB4"/>
    <w:rsid w:val="00A92EE0"/>
    <w:rsid w:val="00A951AF"/>
    <w:rsid w:val="00A954C3"/>
    <w:rsid w:val="00A959B6"/>
    <w:rsid w:val="00A96017"/>
    <w:rsid w:val="00A96329"/>
    <w:rsid w:val="00A96B7C"/>
    <w:rsid w:val="00A97C81"/>
    <w:rsid w:val="00A97ED7"/>
    <w:rsid w:val="00AA0CAE"/>
    <w:rsid w:val="00AA1E2A"/>
    <w:rsid w:val="00AA2458"/>
    <w:rsid w:val="00AA4399"/>
    <w:rsid w:val="00AA4B7A"/>
    <w:rsid w:val="00AA522F"/>
    <w:rsid w:val="00AA61EE"/>
    <w:rsid w:val="00AA64B1"/>
    <w:rsid w:val="00AA6CC3"/>
    <w:rsid w:val="00AA7163"/>
    <w:rsid w:val="00AA791E"/>
    <w:rsid w:val="00AB15C1"/>
    <w:rsid w:val="00AB1799"/>
    <w:rsid w:val="00AB275F"/>
    <w:rsid w:val="00AB333E"/>
    <w:rsid w:val="00AB36C7"/>
    <w:rsid w:val="00AB5291"/>
    <w:rsid w:val="00AB54C5"/>
    <w:rsid w:val="00AB7BA6"/>
    <w:rsid w:val="00AC151A"/>
    <w:rsid w:val="00AC19AB"/>
    <w:rsid w:val="00AC1CA0"/>
    <w:rsid w:val="00AC20C8"/>
    <w:rsid w:val="00AC26CA"/>
    <w:rsid w:val="00AC3AF6"/>
    <w:rsid w:val="00AC461C"/>
    <w:rsid w:val="00AC4979"/>
    <w:rsid w:val="00AC4A26"/>
    <w:rsid w:val="00AC4DEC"/>
    <w:rsid w:val="00AC6181"/>
    <w:rsid w:val="00AC6998"/>
    <w:rsid w:val="00AC75C7"/>
    <w:rsid w:val="00AD0062"/>
    <w:rsid w:val="00AD0423"/>
    <w:rsid w:val="00AD0859"/>
    <w:rsid w:val="00AD0A1F"/>
    <w:rsid w:val="00AD189A"/>
    <w:rsid w:val="00AD246B"/>
    <w:rsid w:val="00AD2CB2"/>
    <w:rsid w:val="00AD2D29"/>
    <w:rsid w:val="00AD363C"/>
    <w:rsid w:val="00AD53CA"/>
    <w:rsid w:val="00AD5672"/>
    <w:rsid w:val="00AD58A6"/>
    <w:rsid w:val="00AD6D35"/>
    <w:rsid w:val="00AD6D97"/>
    <w:rsid w:val="00AD7236"/>
    <w:rsid w:val="00AD7AE8"/>
    <w:rsid w:val="00AD7B4A"/>
    <w:rsid w:val="00AE0380"/>
    <w:rsid w:val="00AE04E0"/>
    <w:rsid w:val="00AE0AF5"/>
    <w:rsid w:val="00AE13CC"/>
    <w:rsid w:val="00AE170D"/>
    <w:rsid w:val="00AE204E"/>
    <w:rsid w:val="00AE222F"/>
    <w:rsid w:val="00AE23A6"/>
    <w:rsid w:val="00AE37BE"/>
    <w:rsid w:val="00AE413A"/>
    <w:rsid w:val="00AE497E"/>
    <w:rsid w:val="00AE4EE6"/>
    <w:rsid w:val="00AE57A4"/>
    <w:rsid w:val="00AE6289"/>
    <w:rsid w:val="00AE687C"/>
    <w:rsid w:val="00AE7378"/>
    <w:rsid w:val="00AF0B72"/>
    <w:rsid w:val="00AF18D9"/>
    <w:rsid w:val="00AF1972"/>
    <w:rsid w:val="00AF198F"/>
    <w:rsid w:val="00AF240B"/>
    <w:rsid w:val="00AF2D6B"/>
    <w:rsid w:val="00AF3144"/>
    <w:rsid w:val="00AF342E"/>
    <w:rsid w:val="00AF39A6"/>
    <w:rsid w:val="00AF49CB"/>
    <w:rsid w:val="00AF4E7D"/>
    <w:rsid w:val="00AF648D"/>
    <w:rsid w:val="00AF6966"/>
    <w:rsid w:val="00AF6D02"/>
    <w:rsid w:val="00AF7D1F"/>
    <w:rsid w:val="00AF7EDF"/>
    <w:rsid w:val="00AF7FB8"/>
    <w:rsid w:val="00B00436"/>
    <w:rsid w:val="00B008CE"/>
    <w:rsid w:val="00B00CE3"/>
    <w:rsid w:val="00B016DB"/>
    <w:rsid w:val="00B01772"/>
    <w:rsid w:val="00B03541"/>
    <w:rsid w:val="00B047B6"/>
    <w:rsid w:val="00B04AF3"/>
    <w:rsid w:val="00B05C58"/>
    <w:rsid w:val="00B06114"/>
    <w:rsid w:val="00B06517"/>
    <w:rsid w:val="00B07922"/>
    <w:rsid w:val="00B100B5"/>
    <w:rsid w:val="00B109F3"/>
    <w:rsid w:val="00B112F8"/>
    <w:rsid w:val="00B1169D"/>
    <w:rsid w:val="00B121D9"/>
    <w:rsid w:val="00B125EB"/>
    <w:rsid w:val="00B13DCA"/>
    <w:rsid w:val="00B143B4"/>
    <w:rsid w:val="00B14A71"/>
    <w:rsid w:val="00B14C6A"/>
    <w:rsid w:val="00B1505C"/>
    <w:rsid w:val="00B15B7E"/>
    <w:rsid w:val="00B16494"/>
    <w:rsid w:val="00B17E9B"/>
    <w:rsid w:val="00B20108"/>
    <w:rsid w:val="00B20491"/>
    <w:rsid w:val="00B20528"/>
    <w:rsid w:val="00B206C2"/>
    <w:rsid w:val="00B21204"/>
    <w:rsid w:val="00B21BB9"/>
    <w:rsid w:val="00B21C8A"/>
    <w:rsid w:val="00B21CCB"/>
    <w:rsid w:val="00B220D0"/>
    <w:rsid w:val="00B22E83"/>
    <w:rsid w:val="00B24622"/>
    <w:rsid w:val="00B24691"/>
    <w:rsid w:val="00B2581E"/>
    <w:rsid w:val="00B26067"/>
    <w:rsid w:val="00B27CB3"/>
    <w:rsid w:val="00B31C01"/>
    <w:rsid w:val="00B32537"/>
    <w:rsid w:val="00B32C0E"/>
    <w:rsid w:val="00B34782"/>
    <w:rsid w:val="00B34EEE"/>
    <w:rsid w:val="00B354A2"/>
    <w:rsid w:val="00B40120"/>
    <w:rsid w:val="00B40288"/>
    <w:rsid w:val="00B41DC0"/>
    <w:rsid w:val="00B41DF8"/>
    <w:rsid w:val="00B4229C"/>
    <w:rsid w:val="00B425D0"/>
    <w:rsid w:val="00B42C38"/>
    <w:rsid w:val="00B43B07"/>
    <w:rsid w:val="00B46187"/>
    <w:rsid w:val="00B461B1"/>
    <w:rsid w:val="00B46649"/>
    <w:rsid w:val="00B467A5"/>
    <w:rsid w:val="00B46CE3"/>
    <w:rsid w:val="00B475E2"/>
    <w:rsid w:val="00B50685"/>
    <w:rsid w:val="00B50DDD"/>
    <w:rsid w:val="00B51238"/>
    <w:rsid w:val="00B5305A"/>
    <w:rsid w:val="00B53A38"/>
    <w:rsid w:val="00B53EDF"/>
    <w:rsid w:val="00B54148"/>
    <w:rsid w:val="00B5487E"/>
    <w:rsid w:val="00B55644"/>
    <w:rsid w:val="00B55758"/>
    <w:rsid w:val="00B558B1"/>
    <w:rsid w:val="00B55DE5"/>
    <w:rsid w:val="00B5633B"/>
    <w:rsid w:val="00B56DAB"/>
    <w:rsid w:val="00B5799A"/>
    <w:rsid w:val="00B57A17"/>
    <w:rsid w:val="00B611B3"/>
    <w:rsid w:val="00B61881"/>
    <w:rsid w:val="00B6190F"/>
    <w:rsid w:val="00B62F89"/>
    <w:rsid w:val="00B63CD9"/>
    <w:rsid w:val="00B64049"/>
    <w:rsid w:val="00B658C0"/>
    <w:rsid w:val="00B658FA"/>
    <w:rsid w:val="00B66B8C"/>
    <w:rsid w:val="00B672FB"/>
    <w:rsid w:val="00B67574"/>
    <w:rsid w:val="00B678ED"/>
    <w:rsid w:val="00B67CAC"/>
    <w:rsid w:val="00B7000C"/>
    <w:rsid w:val="00B702F4"/>
    <w:rsid w:val="00B723FC"/>
    <w:rsid w:val="00B73556"/>
    <w:rsid w:val="00B742E2"/>
    <w:rsid w:val="00B748CC"/>
    <w:rsid w:val="00B7494B"/>
    <w:rsid w:val="00B74D10"/>
    <w:rsid w:val="00B756CE"/>
    <w:rsid w:val="00B76A79"/>
    <w:rsid w:val="00B77004"/>
    <w:rsid w:val="00B778E6"/>
    <w:rsid w:val="00B77CA4"/>
    <w:rsid w:val="00B8092B"/>
    <w:rsid w:val="00B8187D"/>
    <w:rsid w:val="00B829A6"/>
    <w:rsid w:val="00B83871"/>
    <w:rsid w:val="00B8417F"/>
    <w:rsid w:val="00B8476A"/>
    <w:rsid w:val="00B848EE"/>
    <w:rsid w:val="00B84C20"/>
    <w:rsid w:val="00B85C06"/>
    <w:rsid w:val="00B861E5"/>
    <w:rsid w:val="00B862A4"/>
    <w:rsid w:val="00B8692B"/>
    <w:rsid w:val="00B874FD"/>
    <w:rsid w:val="00B87973"/>
    <w:rsid w:val="00B879B9"/>
    <w:rsid w:val="00B90E6E"/>
    <w:rsid w:val="00B91061"/>
    <w:rsid w:val="00B91219"/>
    <w:rsid w:val="00B92BF7"/>
    <w:rsid w:val="00B9423B"/>
    <w:rsid w:val="00B94375"/>
    <w:rsid w:val="00B954C8"/>
    <w:rsid w:val="00B97CD4"/>
    <w:rsid w:val="00B97F38"/>
    <w:rsid w:val="00BA0265"/>
    <w:rsid w:val="00BA09BC"/>
    <w:rsid w:val="00BA0D40"/>
    <w:rsid w:val="00BA3120"/>
    <w:rsid w:val="00BA328F"/>
    <w:rsid w:val="00BA32C3"/>
    <w:rsid w:val="00BA32F0"/>
    <w:rsid w:val="00BA3638"/>
    <w:rsid w:val="00BA4550"/>
    <w:rsid w:val="00BA52BE"/>
    <w:rsid w:val="00BA727F"/>
    <w:rsid w:val="00BA79B5"/>
    <w:rsid w:val="00BB0677"/>
    <w:rsid w:val="00BB2D13"/>
    <w:rsid w:val="00BB4F0D"/>
    <w:rsid w:val="00BB50BE"/>
    <w:rsid w:val="00BB57EA"/>
    <w:rsid w:val="00BB5E92"/>
    <w:rsid w:val="00BB60D3"/>
    <w:rsid w:val="00BB673E"/>
    <w:rsid w:val="00BB6EB9"/>
    <w:rsid w:val="00BB7D92"/>
    <w:rsid w:val="00BB7FAB"/>
    <w:rsid w:val="00BC01E4"/>
    <w:rsid w:val="00BC0D1D"/>
    <w:rsid w:val="00BC1482"/>
    <w:rsid w:val="00BC14D4"/>
    <w:rsid w:val="00BC15BB"/>
    <w:rsid w:val="00BC262A"/>
    <w:rsid w:val="00BC3628"/>
    <w:rsid w:val="00BC3DC4"/>
    <w:rsid w:val="00BC4327"/>
    <w:rsid w:val="00BC4350"/>
    <w:rsid w:val="00BC43FA"/>
    <w:rsid w:val="00BC48D3"/>
    <w:rsid w:val="00BC5933"/>
    <w:rsid w:val="00BC665A"/>
    <w:rsid w:val="00BC6BC2"/>
    <w:rsid w:val="00BC6E70"/>
    <w:rsid w:val="00BD0AA2"/>
    <w:rsid w:val="00BD137C"/>
    <w:rsid w:val="00BD3CC0"/>
    <w:rsid w:val="00BD455B"/>
    <w:rsid w:val="00BD4D3D"/>
    <w:rsid w:val="00BD50E5"/>
    <w:rsid w:val="00BD5276"/>
    <w:rsid w:val="00BD6D0B"/>
    <w:rsid w:val="00BD6EF5"/>
    <w:rsid w:val="00BD7FE3"/>
    <w:rsid w:val="00BE09D7"/>
    <w:rsid w:val="00BE1274"/>
    <w:rsid w:val="00BE1418"/>
    <w:rsid w:val="00BE215D"/>
    <w:rsid w:val="00BE2DC8"/>
    <w:rsid w:val="00BE3831"/>
    <w:rsid w:val="00BE3DE1"/>
    <w:rsid w:val="00BE5FDE"/>
    <w:rsid w:val="00BE6F52"/>
    <w:rsid w:val="00BF0C9B"/>
    <w:rsid w:val="00BF111E"/>
    <w:rsid w:val="00BF1965"/>
    <w:rsid w:val="00BF1E6E"/>
    <w:rsid w:val="00BF22C9"/>
    <w:rsid w:val="00BF2415"/>
    <w:rsid w:val="00BF2C2C"/>
    <w:rsid w:val="00BF38CF"/>
    <w:rsid w:val="00BF4409"/>
    <w:rsid w:val="00BF4B73"/>
    <w:rsid w:val="00BF6DA7"/>
    <w:rsid w:val="00BF6FF0"/>
    <w:rsid w:val="00C009D5"/>
    <w:rsid w:val="00C01655"/>
    <w:rsid w:val="00C02BE3"/>
    <w:rsid w:val="00C032DC"/>
    <w:rsid w:val="00C034A5"/>
    <w:rsid w:val="00C03EEC"/>
    <w:rsid w:val="00C05179"/>
    <w:rsid w:val="00C0713F"/>
    <w:rsid w:val="00C10B77"/>
    <w:rsid w:val="00C1184B"/>
    <w:rsid w:val="00C11CBE"/>
    <w:rsid w:val="00C1396B"/>
    <w:rsid w:val="00C1402C"/>
    <w:rsid w:val="00C14B0F"/>
    <w:rsid w:val="00C15A42"/>
    <w:rsid w:val="00C16447"/>
    <w:rsid w:val="00C16535"/>
    <w:rsid w:val="00C21E0C"/>
    <w:rsid w:val="00C22542"/>
    <w:rsid w:val="00C24274"/>
    <w:rsid w:val="00C24FB4"/>
    <w:rsid w:val="00C25AC9"/>
    <w:rsid w:val="00C25ACD"/>
    <w:rsid w:val="00C2652C"/>
    <w:rsid w:val="00C266E9"/>
    <w:rsid w:val="00C276C4"/>
    <w:rsid w:val="00C27B3F"/>
    <w:rsid w:val="00C30507"/>
    <w:rsid w:val="00C30689"/>
    <w:rsid w:val="00C31B5B"/>
    <w:rsid w:val="00C328DC"/>
    <w:rsid w:val="00C32ABB"/>
    <w:rsid w:val="00C331D5"/>
    <w:rsid w:val="00C35577"/>
    <w:rsid w:val="00C35708"/>
    <w:rsid w:val="00C35C8C"/>
    <w:rsid w:val="00C36DB4"/>
    <w:rsid w:val="00C409FE"/>
    <w:rsid w:val="00C41025"/>
    <w:rsid w:val="00C41690"/>
    <w:rsid w:val="00C41EDC"/>
    <w:rsid w:val="00C42454"/>
    <w:rsid w:val="00C424FB"/>
    <w:rsid w:val="00C42C76"/>
    <w:rsid w:val="00C43F6F"/>
    <w:rsid w:val="00C447B9"/>
    <w:rsid w:val="00C47067"/>
    <w:rsid w:val="00C47D36"/>
    <w:rsid w:val="00C50CAB"/>
    <w:rsid w:val="00C53C91"/>
    <w:rsid w:val="00C53DBB"/>
    <w:rsid w:val="00C543FD"/>
    <w:rsid w:val="00C5447F"/>
    <w:rsid w:val="00C55626"/>
    <w:rsid w:val="00C5630C"/>
    <w:rsid w:val="00C6007D"/>
    <w:rsid w:val="00C6189C"/>
    <w:rsid w:val="00C61C6E"/>
    <w:rsid w:val="00C62C0E"/>
    <w:rsid w:val="00C631BA"/>
    <w:rsid w:val="00C63788"/>
    <w:rsid w:val="00C64408"/>
    <w:rsid w:val="00C65C1A"/>
    <w:rsid w:val="00C65F68"/>
    <w:rsid w:val="00C6649F"/>
    <w:rsid w:val="00C6674C"/>
    <w:rsid w:val="00C67C57"/>
    <w:rsid w:val="00C67D5F"/>
    <w:rsid w:val="00C70B03"/>
    <w:rsid w:val="00C70F9A"/>
    <w:rsid w:val="00C712DE"/>
    <w:rsid w:val="00C715F8"/>
    <w:rsid w:val="00C71F0F"/>
    <w:rsid w:val="00C71FC7"/>
    <w:rsid w:val="00C7262C"/>
    <w:rsid w:val="00C74796"/>
    <w:rsid w:val="00C76836"/>
    <w:rsid w:val="00C772E0"/>
    <w:rsid w:val="00C77466"/>
    <w:rsid w:val="00C77659"/>
    <w:rsid w:val="00C77EBB"/>
    <w:rsid w:val="00C8150E"/>
    <w:rsid w:val="00C81838"/>
    <w:rsid w:val="00C819FA"/>
    <w:rsid w:val="00C81EEE"/>
    <w:rsid w:val="00C829FF"/>
    <w:rsid w:val="00C82A20"/>
    <w:rsid w:val="00C82DA0"/>
    <w:rsid w:val="00C83CEC"/>
    <w:rsid w:val="00C84F13"/>
    <w:rsid w:val="00C85785"/>
    <w:rsid w:val="00C85D2F"/>
    <w:rsid w:val="00C862FF"/>
    <w:rsid w:val="00C87424"/>
    <w:rsid w:val="00C87A23"/>
    <w:rsid w:val="00C87CE6"/>
    <w:rsid w:val="00C87D78"/>
    <w:rsid w:val="00C90165"/>
    <w:rsid w:val="00C902C9"/>
    <w:rsid w:val="00C91F72"/>
    <w:rsid w:val="00C92B86"/>
    <w:rsid w:val="00C947D7"/>
    <w:rsid w:val="00C95A93"/>
    <w:rsid w:val="00C95EE9"/>
    <w:rsid w:val="00C96685"/>
    <w:rsid w:val="00C96CC9"/>
    <w:rsid w:val="00C9703F"/>
    <w:rsid w:val="00C97B76"/>
    <w:rsid w:val="00CA0B9B"/>
    <w:rsid w:val="00CA130E"/>
    <w:rsid w:val="00CA1D60"/>
    <w:rsid w:val="00CA2701"/>
    <w:rsid w:val="00CA410F"/>
    <w:rsid w:val="00CA41EC"/>
    <w:rsid w:val="00CA4A80"/>
    <w:rsid w:val="00CA50A2"/>
    <w:rsid w:val="00CA538A"/>
    <w:rsid w:val="00CA560E"/>
    <w:rsid w:val="00CB0403"/>
    <w:rsid w:val="00CB0A33"/>
    <w:rsid w:val="00CB0B52"/>
    <w:rsid w:val="00CB0C7F"/>
    <w:rsid w:val="00CB0E0F"/>
    <w:rsid w:val="00CB106B"/>
    <w:rsid w:val="00CB4B5E"/>
    <w:rsid w:val="00CB4CF7"/>
    <w:rsid w:val="00CB56C7"/>
    <w:rsid w:val="00CB67A6"/>
    <w:rsid w:val="00CB68AC"/>
    <w:rsid w:val="00CB78FA"/>
    <w:rsid w:val="00CB7B58"/>
    <w:rsid w:val="00CB7F89"/>
    <w:rsid w:val="00CC0E56"/>
    <w:rsid w:val="00CC48BB"/>
    <w:rsid w:val="00CC4BF3"/>
    <w:rsid w:val="00CC50DF"/>
    <w:rsid w:val="00CC537D"/>
    <w:rsid w:val="00CC54F1"/>
    <w:rsid w:val="00CC5E48"/>
    <w:rsid w:val="00CC69F6"/>
    <w:rsid w:val="00CC6FBF"/>
    <w:rsid w:val="00CC7E19"/>
    <w:rsid w:val="00CD087D"/>
    <w:rsid w:val="00CD097F"/>
    <w:rsid w:val="00CD1F27"/>
    <w:rsid w:val="00CD2750"/>
    <w:rsid w:val="00CD296E"/>
    <w:rsid w:val="00CD3341"/>
    <w:rsid w:val="00CD386D"/>
    <w:rsid w:val="00CD43FC"/>
    <w:rsid w:val="00CD4CCA"/>
    <w:rsid w:val="00CD566E"/>
    <w:rsid w:val="00CD5A12"/>
    <w:rsid w:val="00CD5BCB"/>
    <w:rsid w:val="00CD620E"/>
    <w:rsid w:val="00CD7958"/>
    <w:rsid w:val="00CD7A22"/>
    <w:rsid w:val="00CD7C24"/>
    <w:rsid w:val="00CE0557"/>
    <w:rsid w:val="00CE0961"/>
    <w:rsid w:val="00CE0B8C"/>
    <w:rsid w:val="00CE1B98"/>
    <w:rsid w:val="00CE1CE5"/>
    <w:rsid w:val="00CE35FE"/>
    <w:rsid w:val="00CE4DDE"/>
    <w:rsid w:val="00CE6769"/>
    <w:rsid w:val="00CE6F3C"/>
    <w:rsid w:val="00CE7286"/>
    <w:rsid w:val="00CE7B2F"/>
    <w:rsid w:val="00CF1B36"/>
    <w:rsid w:val="00CF2D26"/>
    <w:rsid w:val="00CF3239"/>
    <w:rsid w:val="00CF5936"/>
    <w:rsid w:val="00CF5EAB"/>
    <w:rsid w:val="00CF5FFB"/>
    <w:rsid w:val="00CF6FCD"/>
    <w:rsid w:val="00CF77E9"/>
    <w:rsid w:val="00D006FE"/>
    <w:rsid w:val="00D00CBC"/>
    <w:rsid w:val="00D01640"/>
    <w:rsid w:val="00D0385D"/>
    <w:rsid w:val="00D03AB0"/>
    <w:rsid w:val="00D0411E"/>
    <w:rsid w:val="00D04F11"/>
    <w:rsid w:val="00D0624A"/>
    <w:rsid w:val="00D06602"/>
    <w:rsid w:val="00D07375"/>
    <w:rsid w:val="00D07784"/>
    <w:rsid w:val="00D104F0"/>
    <w:rsid w:val="00D11B73"/>
    <w:rsid w:val="00D12908"/>
    <w:rsid w:val="00D12FFC"/>
    <w:rsid w:val="00D13AD1"/>
    <w:rsid w:val="00D1546A"/>
    <w:rsid w:val="00D1595A"/>
    <w:rsid w:val="00D15A50"/>
    <w:rsid w:val="00D16B51"/>
    <w:rsid w:val="00D200CB"/>
    <w:rsid w:val="00D20268"/>
    <w:rsid w:val="00D20A53"/>
    <w:rsid w:val="00D20D06"/>
    <w:rsid w:val="00D22580"/>
    <w:rsid w:val="00D22D6A"/>
    <w:rsid w:val="00D23390"/>
    <w:rsid w:val="00D23FDF"/>
    <w:rsid w:val="00D24060"/>
    <w:rsid w:val="00D2744B"/>
    <w:rsid w:val="00D279A5"/>
    <w:rsid w:val="00D27D42"/>
    <w:rsid w:val="00D27E8A"/>
    <w:rsid w:val="00D3063A"/>
    <w:rsid w:val="00D306FA"/>
    <w:rsid w:val="00D30E04"/>
    <w:rsid w:val="00D3128A"/>
    <w:rsid w:val="00D313B4"/>
    <w:rsid w:val="00D31495"/>
    <w:rsid w:val="00D314CC"/>
    <w:rsid w:val="00D317C1"/>
    <w:rsid w:val="00D31C60"/>
    <w:rsid w:val="00D32474"/>
    <w:rsid w:val="00D32AF8"/>
    <w:rsid w:val="00D32EA7"/>
    <w:rsid w:val="00D33021"/>
    <w:rsid w:val="00D33197"/>
    <w:rsid w:val="00D33BF4"/>
    <w:rsid w:val="00D34839"/>
    <w:rsid w:val="00D34BB3"/>
    <w:rsid w:val="00D35D85"/>
    <w:rsid w:val="00D363D8"/>
    <w:rsid w:val="00D36A71"/>
    <w:rsid w:val="00D36F29"/>
    <w:rsid w:val="00D37B7A"/>
    <w:rsid w:val="00D37D73"/>
    <w:rsid w:val="00D404C7"/>
    <w:rsid w:val="00D40505"/>
    <w:rsid w:val="00D41326"/>
    <w:rsid w:val="00D41ED5"/>
    <w:rsid w:val="00D42AA5"/>
    <w:rsid w:val="00D43867"/>
    <w:rsid w:val="00D43BE0"/>
    <w:rsid w:val="00D443E0"/>
    <w:rsid w:val="00D44483"/>
    <w:rsid w:val="00D455B0"/>
    <w:rsid w:val="00D45970"/>
    <w:rsid w:val="00D45978"/>
    <w:rsid w:val="00D46218"/>
    <w:rsid w:val="00D474ED"/>
    <w:rsid w:val="00D47556"/>
    <w:rsid w:val="00D478E3"/>
    <w:rsid w:val="00D47B06"/>
    <w:rsid w:val="00D47EE7"/>
    <w:rsid w:val="00D507F6"/>
    <w:rsid w:val="00D509F3"/>
    <w:rsid w:val="00D51496"/>
    <w:rsid w:val="00D51EAB"/>
    <w:rsid w:val="00D52727"/>
    <w:rsid w:val="00D52975"/>
    <w:rsid w:val="00D533CB"/>
    <w:rsid w:val="00D53CB2"/>
    <w:rsid w:val="00D54A6F"/>
    <w:rsid w:val="00D5531D"/>
    <w:rsid w:val="00D57C7C"/>
    <w:rsid w:val="00D616E1"/>
    <w:rsid w:val="00D61A82"/>
    <w:rsid w:val="00D634C2"/>
    <w:rsid w:val="00D634E0"/>
    <w:rsid w:val="00D643B8"/>
    <w:rsid w:val="00D64A4F"/>
    <w:rsid w:val="00D653F4"/>
    <w:rsid w:val="00D65420"/>
    <w:rsid w:val="00D65F0E"/>
    <w:rsid w:val="00D66266"/>
    <w:rsid w:val="00D66B58"/>
    <w:rsid w:val="00D6746D"/>
    <w:rsid w:val="00D6788D"/>
    <w:rsid w:val="00D70070"/>
    <w:rsid w:val="00D703FC"/>
    <w:rsid w:val="00D7184E"/>
    <w:rsid w:val="00D72BD6"/>
    <w:rsid w:val="00D73386"/>
    <w:rsid w:val="00D74571"/>
    <w:rsid w:val="00D74BA8"/>
    <w:rsid w:val="00D75206"/>
    <w:rsid w:val="00D7564A"/>
    <w:rsid w:val="00D767AE"/>
    <w:rsid w:val="00D777E9"/>
    <w:rsid w:val="00D779BF"/>
    <w:rsid w:val="00D801CB"/>
    <w:rsid w:val="00D80732"/>
    <w:rsid w:val="00D8103E"/>
    <w:rsid w:val="00D81AB6"/>
    <w:rsid w:val="00D8217E"/>
    <w:rsid w:val="00D8226A"/>
    <w:rsid w:val="00D82541"/>
    <w:rsid w:val="00D8268A"/>
    <w:rsid w:val="00D851B4"/>
    <w:rsid w:val="00D8567A"/>
    <w:rsid w:val="00D86638"/>
    <w:rsid w:val="00D86F94"/>
    <w:rsid w:val="00D871BB"/>
    <w:rsid w:val="00D91B43"/>
    <w:rsid w:val="00D91FD4"/>
    <w:rsid w:val="00D93695"/>
    <w:rsid w:val="00D93EA3"/>
    <w:rsid w:val="00D976CE"/>
    <w:rsid w:val="00D97A0C"/>
    <w:rsid w:val="00D97B2B"/>
    <w:rsid w:val="00D97D19"/>
    <w:rsid w:val="00DA0D98"/>
    <w:rsid w:val="00DA1104"/>
    <w:rsid w:val="00DA1B3F"/>
    <w:rsid w:val="00DA21CC"/>
    <w:rsid w:val="00DA23A1"/>
    <w:rsid w:val="00DA2A97"/>
    <w:rsid w:val="00DA2D95"/>
    <w:rsid w:val="00DA40A1"/>
    <w:rsid w:val="00DA41DD"/>
    <w:rsid w:val="00DA4F15"/>
    <w:rsid w:val="00DA614D"/>
    <w:rsid w:val="00DA659F"/>
    <w:rsid w:val="00DA6748"/>
    <w:rsid w:val="00DA7B2F"/>
    <w:rsid w:val="00DB0920"/>
    <w:rsid w:val="00DB1677"/>
    <w:rsid w:val="00DB182F"/>
    <w:rsid w:val="00DB1F43"/>
    <w:rsid w:val="00DB2FA6"/>
    <w:rsid w:val="00DB30AC"/>
    <w:rsid w:val="00DB3C3E"/>
    <w:rsid w:val="00DB3FDE"/>
    <w:rsid w:val="00DB464D"/>
    <w:rsid w:val="00DB4D5D"/>
    <w:rsid w:val="00DB502C"/>
    <w:rsid w:val="00DB5544"/>
    <w:rsid w:val="00DB581C"/>
    <w:rsid w:val="00DB5951"/>
    <w:rsid w:val="00DB59D6"/>
    <w:rsid w:val="00DB6BD3"/>
    <w:rsid w:val="00DB6EAA"/>
    <w:rsid w:val="00DC0657"/>
    <w:rsid w:val="00DC08B2"/>
    <w:rsid w:val="00DC0A33"/>
    <w:rsid w:val="00DC0C33"/>
    <w:rsid w:val="00DC29CD"/>
    <w:rsid w:val="00DC33A6"/>
    <w:rsid w:val="00DC369E"/>
    <w:rsid w:val="00DC57E2"/>
    <w:rsid w:val="00DC672F"/>
    <w:rsid w:val="00DC6982"/>
    <w:rsid w:val="00DC7189"/>
    <w:rsid w:val="00DC731B"/>
    <w:rsid w:val="00DD1338"/>
    <w:rsid w:val="00DD20E6"/>
    <w:rsid w:val="00DD2F4E"/>
    <w:rsid w:val="00DD3E01"/>
    <w:rsid w:val="00DD3E55"/>
    <w:rsid w:val="00DD495E"/>
    <w:rsid w:val="00DD51E4"/>
    <w:rsid w:val="00DD60DE"/>
    <w:rsid w:val="00DD635A"/>
    <w:rsid w:val="00DD6B6C"/>
    <w:rsid w:val="00DD6E4D"/>
    <w:rsid w:val="00DD7FF9"/>
    <w:rsid w:val="00DE043D"/>
    <w:rsid w:val="00DE0D26"/>
    <w:rsid w:val="00DE139C"/>
    <w:rsid w:val="00DE1E01"/>
    <w:rsid w:val="00DE3630"/>
    <w:rsid w:val="00DE4CEA"/>
    <w:rsid w:val="00DE5141"/>
    <w:rsid w:val="00DE630B"/>
    <w:rsid w:val="00DE6A19"/>
    <w:rsid w:val="00DE6E4A"/>
    <w:rsid w:val="00DE76A9"/>
    <w:rsid w:val="00DE7927"/>
    <w:rsid w:val="00DE797A"/>
    <w:rsid w:val="00DE797D"/>
    <w:rsid w:val="00DE7CE7"/>
    <w:rsid w:val="00DF0665"/>
    <w:rsid w:val="00DF0733"/>
    <w:rsid w:val="00DF0FD8"/>
    <w:rsid w:val="00DF299F"/>
    <w:rsid w:val="00DF38F8"/>
    <w:rsid w:val="00DF3C9A"/>
    <w:rsid w:val="00DF4FC0"/>
    <w:rsid w:val="00DF5361"/>
    <w:rsid w:val="00DF5598"/>
    <w:rsid w:val="00DF5DF9"/>
    <w:rsid w:val="00DF7159"/>
    <w:rsid w:val="00DF769B"/>
    <w:rsid w:val="00DF7F10"/>
    <w:rsid w:val="00E01643"/>
    <w:rsid w:val="00E0196F"/>
    <w:rsid w:val="00E01FD1"/>
    <w:rsid w:val="00E0208E"/>
    <w:rsid w:val="00E02128"/>
    <w:rsid w:val="00E038C1"/>
    <w:rsid w:val="00E039D8"/>
    <w:rsid w:val="00E040C9"/>
    <w:rsid w:val="00E04197"/>
    <w:rsid w:val="00E0438B"/>
    <w:rsid w:val="00E0462C"/>
    <w:rsid w:val="00E068C7"/>
    <w:rsid w:val="00E06920"/>
    <w:rsid w:val="00E06F8A"/>
    <w:rsid w:val="00E07096"/>
    <w:rsid w:val="00E070AD"/>
    <w:rsid w:val="00E076D2"/>
    <w:rsid w:val="00E07BA0"/>
    <w:rsid w:val="00E07FE3"/>
    <w:rsid w:val="00E105FD"/>
    <w:rsid w:val="00E10C87"/>
    <w:rsid w:val="00E116C9"/>
    <w:rsid w:val="00E11BE1"/>
    <w:rsid w:val="00E12609"/>
    <w:rsid w:val="00E12C11"/>
    <w:rsid w:val="00E13564"/>
    <w:rsid w:val="00E1394D"/>
    <w:rsid w:val="00E143A9"/>
    <w:rsid w:val="00E14975"/>
    <w:rsid w:val="00E14C4D"/>
    <w:rsid w:val="00E15843"/>
    <w:rsid w:val="00E167AE"/>
    <w:rsid w:val="00E168A7"/>
    <w:rsid w:val="00E203A8"/>
    <w:rsid w:val="00E2091D"/>
    <w:rsid w:val="00E20B95"/>
    <w:rsid w:val="00E213BA"/>
    <w:rsid w:val="00E216EB"/>
    <w:rsid w:val="00E222D3"/>
    <w:rsid w:val="00E223D5"/>
    <w:rsid w:val="00E223E9"/>
    <w:rsid w:val="00E22905"/>
    <w:rsid w:val="00E23777"/>
    <w:rsid w:val="00E242DD"/>
    <w:rsid w:val="00E2444F"/>
    <w:rsid w:val="00E24491"/>
    <w:rsid w:val="00E245F6"/>
    <w:rsid w:val="00E24A95"/>
    <w:rsid w:val="00E26C1D"/>
    <w:rsid w:val="00E27353"/>
    <w:rsid w:val="00E27FDA"/>
    <w:rsid w:val="00E302C6"/>
    <w:rsid w:val="00E3057D"/>
    <w:rsid w:val="00E30D70"/>
    <w:rsid w:val="00E31B19"/>
    <w:rsid w:val="00E32FC7"/>
    <w:rsid w:val="00E33A8C"/>
    <w:rsid w:val="00E347DA"/>
    <w:rsid w:val="00E34A3A"/>
    <w:rsid w:val="00E34B77"/>
    <w:rsid w:val="00E34C14"/>
    <w:rsid w:val="00E35541"/>
    <w:rsid w:val="00E35885"/>
    <w:rsid w:val="00E35BE8"/>
    <w:rsid w:val="00E361AD"/>
    <w:rsid w:val="00E36D9A"/>
    <w:rsid w:val="00E36F21"/>
    <w:rsid w:val="00E37008"/>
    <w:rsid w:val="00E3741F"/>
    <w:rsid w:val="00E37A2D"/>
    <w:rsid w:val="00E40BC5"/>
    <w:rsid w:val="00E411CE"/>
    <w:rsid w:val="00E4125F"/>
    <w:rsid w:val="00E41721"/>
    <w:rsid w:val="00E43216"/>
    <w:rsid w:val="00E43DDA"/>
    <w:rsid w:val="00E43FC3"/>
    <w:rsid w:val="00E44432"/>
    <w:rsid w:val="00E44ECB"/>
    <w:rsid w:val="00E45FC1"/>
    <w:rsid w:val="00E4667F"/>
    <w:rsid w:val="00E478DE"/>
    <w:rsid w:val="00E503C5"/>
    <w:rsid w:val="00E50CC1"/>
    <w:rsid w:val="00E52017"/>
    <w:rsid w:val="00E52649"/>
    <w:rsid w:val="00E5272D"/>
    <w:rsid w:val="00E52AE0"/>
    <w:rsid w:val="00E53468"/>
    <w:rsid w:val="00E536A4"/>
    <w:rsid w:val="00E53BAF"/>
    <w:rsid w:val="00E54959"/>
    <w:rsid w:val="00E549B3"/>
    <w:rsid w:val="00E54B58"/>
    <w:rsid w:val="00E54F9E"/>
    <w:rsid w:val="00E55D57"/>
    <w:rsid w:val="00E5652E"/>
    <w:rsid w:val="00E579CA"/>
    <w:rsid w:val="00E601E0"/>
    <w:rsid w:val="00E60529"/>
    <w:rsid w:val="00E60847"/>
    <w:rsid w:val="00E6097A"/>
    <w:rsid w:val="00E60C77"/>
    <w:rsid w:val="00E60C7A"/>
    <w:rsid w:val="00E615AA"/>
    <w:rsid w:val="00E617E7"/>
    <w:rsid w:val="00E63BC9"/>
    <w:rsid w:val="00E63F6B"/>
    <w:rsid w:val="00E641AB"/>
    <w:rsid w:val="00E64541"/>
    <w:rsid w:val="00E6469D"/>
    <w:rsid w:val="00E65170"/>
    <w:rsid w:val="00E651B1"/>
    <w:rsid w:val="00E653CC"/>
    <w:rsid w:val="00E65E85"/>
    <w:rsid w:val="00E66476"/>
    <w:rsid w:val="00E666C7"/>
    <w:rsid w:val="00E67E14"/>
    <w:rsid w:val="00E7011C"/>
    <w:rsid w:val="00E701D6"/>
    <w:rsid w:val="00E70F6B"/>
    <w:rsid w:val="00E711E8"/>
    <w:rsid w:val="00E71899"/>
    <w:rsid w:val="00E7229C"/>
    <w:rsid w:val="00E72451"/>
    <w:rsid w:val="00E7266A"/>
    <w:rsid w:val="00E72C37"/>
    <w:rsid w:val="00E72EB9"/>
    <w:rsid w:val="00E73195"/>
    <w:rsid w:val="00E731A0"/>
    <w:rsid w:val="00E738B7"/>
    <w:rsid w:val="00E7393B"/>
    <w:rsid w:val="00E73999"/>
    <w:rsid w:val="00E74012"/>
    <w:rsid w:val="00E7540D"/>
    <w:rsid w:val="00E76E7F"/>
    <w:rsid w:val="00E778D6"/>
    <w:rsid w:val="00E8019E"/>
    <w:rsid w:val="00E80216"/>
    <w:rsid w:val="00E80333"/>
    <w:rsid w:val="00E80F17"/>
    <w:rsid w:val="00E82180"/>
    <w:rsid w:val="00E8237A"/>
    <w:rsid w:val="00E82E3D"/>
    <w:rsid w:val="00E8456A"/>
    <w:rsid w:val="00E84703"/>
    <w:rsid w:val="00E850BE"/>
    <w:rsid w:val="00E857AF"/>
    <w:rsid w:val="00E87068"/>
    <w:rsid w:val="00E91326"/>
    <w:rsid w:val="00E91DF9"/>
    <w:rsid w:val="00E92C45"/>
    <w:rsid w:val="00E93326"/>
    <w:rsid w:val="00E93AD1"/>
    <w:rsid w:val="00E95C4F"/>
    <w:rsid w:val="00E96268"/>
    <w:rsid w:val="00E9656D"/>
    <w:rsid w:val="00E966F8"/>
    <w:rsid w:val="00E96BF7"/>
    <w:rsid w:val="00E974F3"/>
    <w:rsid w:val="00E97800"/>
    <w:rsid w:val="00EA194F"/>
    <w:rsid w:val="00EA1D03"/>
    <w:rsid w:val="00EA2ABC"/>
    <w:rsid w:val="00EA2C18"/>
    <w:rsid w:val="00EA339F"/>
    <w:rsid w:val="00EA3B53"/>
    <w:rsid w:val="00EA3E0B"/>
    <w:rsid w:val="00EA5126"/>
    <w:rsid w:val="00EA7826"/>
    <w:rsid w:val="00EA7EEA"/>
    <w:rsid w:val="00EB004D"/>
    <w:rsid w:val="00EB0EDF"/>
    <w:rsid w:val="00EB1A4A"/>
    <w:rsid w:val="00EB1F5E"/>
    <w:rsid w:val="00EB3C74"/>
    <w:rsid w:val="00EB4DE9"/>
    <w:rsid w:val="00EB5930"/>
    <w:rsid w:val="00EB7453"/>
    <w:rsid w:val="00EB7B8B"/>
    <w:rsid w:val="00EB7EE5"/>
    <w:rsid w:val="00EC1140"/>
    <w:rsid w:val="00EC189D"/>
    <w:rsid w:val="00EC1A2C"/>
    <w:rsid w:val="00EC1B43"/>
    <w:rsid w:val="00EC2C72"/>
    <w:rsid w:val="00EC32C8"/>
    <w:rsid w:val="00EC34EC"/>
    <w:rsid w:val="00EC3E63"/>
    <w:rsid w:val="00EC432E"/>
    <w:rsid w:val="00EC6AD5"/>
    <w:rsid w:val="00EC72E0"/>
    <w:rsid w:val="00EC7C6E"/>
    <w:rsid w:val="00ED0943"/>
    <w:rsid w:val="00ED0CB1"/>
    <w:rsid w:val="00ED12C9"/>
    <w:rsid w:val="00ED1351"/>
    <w:rsid w:val="00ED1F42"/>
    <w:rsid w:val="00ED349B"/>
    <w:rsid w:val="00ED363B"/>
    <w:rsid w:val="00ED3DCB"/>
    <w:rsid w:val="00ED5042"/>
    <w:rsid w:val="00ED5B28"/>
    <w:rsid w:val="00ED6306"/>
    <w:rsid w:val="00EE057F"/>
    <w:rsid w:val="00EE1674"/>
    <w:rsid w:val="00EE1E74"/>
    <w:rsid w:val="00EE29EE"/>
    <w:rsid w:val="00EE4058"/>
    <w:rsid w:val="00EE42A5"/>
    <w:rsid w:val="00EE48E8"/>
    <w:rsid w:val="00EE5813"/>
    <w:rsid w:val="00EE6F9B"/>
    <w:rsid w:val="00EE749B"/>
    <w:rsid w:val="00EE7C62"/>
    <w:rsid w:val="00EF04E7"/>
    <w:rsid w:val="00EF086B"/>
    <w:rsid w:val="00EF15CF"/>
    <w:rsid w:val="00EF35F6"/>
    <w:rsid w:val="00EF3672"/>
    <w:rsid w:val="00EF368D"/>
    <w:rsid w:val="00EF478A"/>
    <w:rsid w:val="00EF4804"/>
    <w:rsid w:val="00EF5940"/>
    <w:rsid w:val="00EF5E1F"/>
    <w:rsid w:val="00EF5F74"/>
    <w:rsid w:val="00EF6391"/>
    <w:rsid w:val="00F0027E"/>
    <w:rsid w:val="00F01756"/>
    <w:rsid w:val="00F01CFE"/>
    <w:rsid w:val="00F02462"/>
    <w:rsid w:val="00F043F8"/>
    <w:rsid w:val="00F06A32"/>
    <w:rsid w:val="00F07365"/>
    <w:rsid w:val="00F07E80"/>
    <w:rsid w:val="00F102D4"/>
    <w:rsid w:val="00F10ECF"/>
    <w:rsid w:val="00F11BB4"/>
    <w:rsid w:val="00F121D2"/>
    <w:rsid w:val="00F12258"/>
    <w:rsid w:val="00F12AE8"/>
    <w:rsid w:val="00F12F40"/>
    <w:rsid w:val="00F138E0"/>
    <w:rsid w:val="00F13F5F"/>
    <w:rsid w:val="00F14491"/>
    <w:rsid w:val="00F146A1"/>
    <w:rsid w:val="00F16232"/>
    <w:rsid w:val="00F1668C"/>
    <w:rsid w:val="00F16B12"/>
    <w:rsid w:val="00F17C5B"/>
    <w:rsid w:val="00F21A8C"/>
    <w:rsid w:val="00F222EC"/>
    <w:rsid w:val="00F235FA"/>
    <w:rsid w:val="00F243A6"/>
    <w:rsid w:val="00F24FA8"/>
    <w:rsid w:val="00F279D5"/>
    <w:rsid w:val="00F27F87"/>
    <w:rsid w:val="00F30678"/>
    <w:rsid w:val="00F30DF2"/>
    <w:rsid w:val="00F318EB"/>
    <w:rsid w:val="00F31E16"/>
    <w:rsid w:val="00F31E1F"/>
    <w:rsid w:val="00F33AE2"/>
    <w:rsid w:val="00F33C24"/>
    <w:rsid w:val="00F35193"/>
    <w:rsid w:val="00F355C9"/>
    <w:rsid w:val="00F3585B"/>
    <w:rsid w:val="00F35EBE"/>
    <w:rsid w:val="00F37F60"/>
    <w:rsid w:val="00F40326"/>
    <w:rsid w:val="00F40EC4"/>
    <w:rsid w:val="00F4135F"/>
    <w:rsid w:val="00F416E3"/>
    <w:rsid w:val="00F42C72"/>
    <w:rsid w:val="00F42E15"/>
    <w:rsid w:val="00F4426F"/>
    <w:rsid w:val="00F44CEC"/>
    <w:rsid w:val="00F44D7A"/>
    <w:rsid w:val="00F45971"/>
    <w:rsid w:val="00F45E17"/>
    <w:rsid w:val="00F4665B"/>
    <w:rsid w:val="00F47C83"/>
    <w:rsid w:val="00F50809"/>
    <w:rsid w:val="00F50A69"/>
    <w:rsid w:val="00F519CE"/>
    <w:rsid w:val="00F52F97"/>
    <w:rsid w:val="00F5419A"/>
    <w:rsid w:val="00F549D5"/>
    <w:rsid w:val="00F54A90"/>
    <w:rsid w:val="00F54F97"/>
    <w:rsid w:val="00F5585B"/>
    <w:rsid w:val="00F5593F"/>
    <w:rsid w:val="00F56B0A"/>
    <w:rsid w:val="00F5793D"/>
    <w:rsid w:val="00F604F1"/>
    <w:rsid w:val="00F618B1"/>
    <w:rsid w:val="00F63714"/>
    <w:rsid w:val="00F64269"/>
    <w:rsid w:val="00F6515C"/>
    <w:rsid w:val="00F6524D"/>
    <w:rsid w:val="00F6550A"/>
    <w:rsid w:val="00F66CD3"/>
    <w:rsid w:val="00F701E7"/>
    <w:rsid w:val="00F70DCE"/>
    <w:rsid w:val="00F72CB0"/>
    <w:rsid w:val="00F73DBA"/>
    <w:rsid w:val="00F7432E"/>
    <w:rsid w:val="00F759F7"/>
    <w:rsid w:val="00F75E20"/>
    <w:rsid w:val="00F763F2"/>
    <w:rsid w:val="00F76AE2"/>
    <w:rsid w:val="00F7708D"/>
    <w:rsid w:val="00F80A55"/>
    <w:rsid w:val="00F817EC"/>
    <w:rsid w:val="00F83F53"/>
    <w:rsid w:val="00F8453D"/>
    <w:rsid w:val="00F84944"/>
    <w:rsid w:val="00F84D26"/>
    <w:rsid w:val="00F8642B"/>
    <w:rsid w:val="00F87161"/>
    <w:rsid w:val="00F8740B"/>
    <w:rsid w:val="00F87604"/>
    <w:rsid w:val="00F87D09"/>
    <w:rsid w:val="00F903EF"/>
    <w:rsid w:val="00F90D74"/>
    <w:rsid w:val="00F91F43"/>
    <w:rsid w:val="00F92F47"/>
    <w:rsid w:val="00F93EF0"/>
    <w:rsid w:val="00F94884"/>
    <w:rsid w:val="00F952FB"/>
    <w:rsid w:val="00F95960"/>
    <w:rsid w:val="00F95D19"/>
    <w:rsid w:val="00F95D58"/>
    <w:rsid w:val="00F95F44"/>
    <w:rsid w:val="00FA0A69"/>
    <w:rsid w:val="00FA2005"/>
    <w:rsid w:val="00FA2031"/>
    <w:rsid w:val="00FA24BC"/>
    <w:rsid w:val="00FA24E3"/>
    <w:rsid w:val="00FA2517"/>
    <w:rsid w:val="00FA2798"/>
    <w:rsid w:val="00FA3D50"/>
    <w:rsid w:val="00FA437C"/>
    <w:rsid w:val="00FA4BA7"/>
    <w:rsid w:val="00FA5E09"/>
    <w:rsid w:val="00FA618A"/>
    <w:rsid w:val="00FA7533"/>
    <w:rsid w:val="00FA7AA0"/>
    <w:rsid w:val="00FA7B24"/>
    <w:rsid w:val="00FA7FBF"/>
    <w:rsid w:val="00FA7FD0"/>
    <w:rsid w:val="00FB13A0"/>
    <w:rsid w:val="00FB1CCA"/>
    <w:rsid w:val="00FB2338"/>
    <w:rsid w:val="00FB25C9"/>
    <w:rsid w:val="00FB2C1D"/>
    <w:rsid w:val="00FB2D62"/>
    <w:rsid w:val="00FB3734"/>
    <w:rsid w:val="00FB3AC0"/>
    <w:rsid w:val="00FB433C"/>
    <w:rsid w:val="00FB438A"/>
    <w:rsid w:val="00FB4B33"/>
    <w:rsid w:val="00FB6AB4"/>
    <w:rsid w:val="00FB760D"/>
    <w:rsid w:val="00FC1218"/>
    <w:rsid w:val="00FC15C3"/>
    <w:rsid w:val="00FC4236"/>
    <w:rsid w:val="00FC5196"/>
    <w:rsid w:val="00FC549B"/>
    <w:rsid w:val="00FC646A"/>
    <w:rsid w:val="00FD0B46"/>
    <w:rsid w:val="00FD1188"/>
    <w:rsid w:val="00FD1670"/>
    <w:rsid w:val="00FD1D0E"/>
    <w:rsid w:val="00FD21F7"/>
    <w:rsid w:val="00FD27EA"/>
    <w:rsid w:val="00FD2896"/>
    <w:rsid w:val="00FD2AB8"/>
    <w:rsid w:val="00FD3447"/>
    <w:rsid w:val="00FD3DA9"/>
    <w:rsid w:val="00FD4352"/>
    <w:rsid w:val="00FD52A4"/>
    <w:rsid w:val="00FD5423"/>
    <w:rsid w:val="00FD78FB"/>
    <w:rsid w:val="00FD7BFE"/>
    <w:rsid w:val="00FD7D9C"/>
    <w:rsid w:val="00FE0496"/>
    <w:rsid w:val="00FE0C13"/>
    <w:rsid w:val="00FE1C70"/>
    <w:rsid w:val="00FE1F40"/>
    <w:rsid w:val="00FE2537"/>
    <w:rsid w:val="00FE258C"/>
    <w:rsid w:val="00FE2C30"/>
    <w:rsid w:val="00FE389E"/>
    <w:rsid w:val="00FE4087"/>
    <w:rsid w:val="00FE5945"/>
    <w:rsid w:val="00FE5B85"/>
    <w:rsid w:val="00FE602A"/>
    <w:rsid w:val="00FE6601"/>
    <w:rsid w:val="00FE6814"/>
    <w:rsid w:val="00FE68CF"/>
    <w:rsid w:val="00FE7A12"/>
    <w:rsid w:val="00FF271B"/>
    <w:rsid w:val="00FF2730"/>
    <w:rsid w:val="00FF3200"/>
    <w:rsid w:val="00FF39F2"/>
    <w:rsid w:val="00FF48D9"/>
    <w:rsid w:val="00FF4997"/>
    <w:rsid w:val="00FF4C66"/>
    <w:rsid w:val="00FF586E"/>
    <w:rsid w:val="00FF77E4"/>
    <w:rsid w:val="00FF7B4D"/>
    <w:rsid w:val="010B405F"/>
    <w:rsid w:val="013A63A1"/>
    <w:rsid w:val="016945E9"/>
    <w:rsid w:val="018726A1"/>
    <w:rsid w:val="01892ED5"/>
    <w:rsid w:val="01C13E97"/>
    <w:rsid w:val="01DB7ED5"/>
    <w:rsid w:val="022850AA"/>
    <w:rsid w:val="02903096"/>
    <w:rsid w:val="02D05560"/>
    <w:rsid w:val="03C31E8B"/>
    <w:rsid w:val="03C8200E"/>
    <w:rsid w:val="03FC42D4"/>
    <w:rsid w:val="04071B97"/>
    <w:rsid w:val="04286DB7"/>
    <w:rsid w:val="04781B43"/>
    <w:rsid w:val="04813FC9"/>
    <w:rsid w:val="0490144A"/>
    <w:rsid w:val="04B638C9"/>
    <w:rsid w:val="05856AD5"/>
    <w:rsid w:val="05DE12B5"/>
    <w:rsid w:val="06247FCE"/>
    <w:rsid w:val="06365851"/>
    <w:rsid w:val="065546FA"/>
    <w:rsid w:val="06DC324E"/>
    <w:rsid w:val="06F87141"/>
    <w:rsid w:val="06FE1072"/>
    <w:rsid w:val="070411C0"/>
    <w:rsid w:val="0711110C"/>
    <w:rsid w:val="076A6D54"/>
    <w:rsid w:val="089C65C7"/>
    <w:rsid w:val="08E83D14"/>
    <w:rsid w:val="09020655"/>
    <w:rsid w:val="09E259BA"/>
    <w:rsid w:val="0A3270B4"/>
    <w:rsid w:val="0A6C0170"/>
    <w:rsid w:val="0AE97655"/>
    <w:rsid w:val="0B1322B6"/>
    <w:rsid w:val="0B2D5B78"/>
    <w:rsid w:val="0B7902A2"/>
    <w:rsid w:val="0BEB1868"/>
    <w:rsid w:val="0C077C52"/>
    <w:rsid w:val="0D34661F"/>
    <w:rsid w:val="0D466B4A"/>
    <w:rsid w:val="0DD84515"/>
    <w:rsid w:val="0E12370A"/>
    <w:rsid w:val="0E3A185A"/>
    <w:rsid w:val="0E473015"/>
    <w:rsid w:val="0EAF3684"/>
    <w:rsid w:val="0ECD6A4F"/>
    <w:rsid w:val="0EEE103A"/>
    <w:rsid w:val="0EF0625C"/>
    <w:rsid w:val="0F2015D7"/>
    <w:rsid w:val="0F6D0FDF"/>
    <w:rsid w:val="0FC17EEF"/>
    <w:rsid w:val="0FDDE600"/>
    <w:rsid w:val="100F0393"/>
    <w:rsid w:val="10537EB7"/>
    <w:rsid w:val="1058122B"/>
    <w:rsid w:val="107D3A8C"/>
    <w:rsid w:val="10F96876"/>
    <w:rsid w:val="11F27DF3"/>
    <w:rsid w:val="1273261D"/>
    <w:rsid w:val="12C445D1"/>
    <w:rsid w:val="148B578A"/>
    <w:rsid w:val="14A41BA9"/>
    <w:rsid w:val="14D147B4"/>
    <w:rsid w:val="14E76E65"/>
    <w:rsid w:val="15793A2A"/>
    <w:rsid w:val="15BC4457"/>
    <w:rsid w:val="15D5341F"/>
    <w:rsid w:val="161D0664"/>
    <w:rsid w:val="16466C1F"/>
    <w:rsid w:val="16546AE8"/>
    <w:rsid w:val="16556050"/>
    <w:rsid w:val="1686445B"/>
    <w:rsid w:val="172A1750"/>
    <w:rsid w:val="173822ED"/>
    <w:rsid w:val="1763587E"/>
    <w:rsid w:val="1778652E"/>
    <w:rsid w:val="179F87EA"/>
    <w:rsid w:val="18304737"/>
    <w:rsid w:val="18FA34DA"/>
    <w:rsid w:val="19476D06"/>
    <w:rsid w:val="194A3919"/>
    <w:rsid w:val="19D00221"/>
    <w:rsid w:val="1B8F6D1B"/>
    <w:rsid w:val="1BCE2785"/>
    <w:rsid w:val="1BD21EAF"/>
    <w:rsid w:val="1BEF055C"/>
    <w:rsid w:val="1BF56AF9"/>
    <w:rsid w:val="1C3070D4"/>
    <w:rsid w:val="1C4732D3"/>
    <w:rsid w:val="1C482B3E"/>
    <w:rsid w:val="1C9656F2"/>
    <w:rsid w:val="1CD82A07"/>
    <w:rsid w:val="1CF25008"/>
    <w:rsid w:val="1D617389"/>
    <w:rsid w:val="1E5F4C2B"/>
    <w:rsid w:val="1E7D312A"/>
    <w:rsid w:val="1E806403"/>
    <w:rsid w:val="1E900ED4"/>
    <w:rsid w:val="1E984D2C"/>
    <w:rsid w:val="1ECC3CD5"/>
    <w:rsid w:val="1F4A067F"/>
    <w:rsid w:val="1F7F2AA6"/>
    <w:rsid w:val="1F9C14F8"/>
    <w:rsid w:val="1FAA0526"/>
    <w:rsid w:val="1FB15133"/>
    <w:rsid w:val="20CC1B51"/>
    <w:rsid w:val="20CD625F"/>
    <w:rsid w:val="22303A18"/>
    <w:rsid w:val="224D7DE1"/>
    <w:rsid w:val="22F40024"/>
    <w:rsid w:val="2331358E"/>
    <w:rsid w:val="23442C7F"/>
    <w:rsid w:val="23BC14BC"/>
    <w:rsid w:val="23DF601F"/>
    <w:rsid w:val="24231158"/>
    <w:rsid w:val="244E738F"/>
    <w:rsid w:val="24533EA6"/>
    <w:rsid w:val="24A07EE6"/>
    <w:rsid w:val="24C148B0"/>
    <w:rsid w:val="24D24B68"/>
    <w:rsid w:val="25754504"/>
    <w:rsid w:val="25AA4DD2"/>
    <w:rsid w:val="25D62593"/>
    <w:rsid w:val="25D7049A"/>
    <w:rsid w:val="26151588"/>
    <w:rsid w:val="262C1F4C"/>
    <w:rsid w:val="26AB4682"/>
    <w:rsid w:val="27871D07"/>
    <w:rsid w:val="27AC69EC"/>
    <w:rsid w:val="27D52B4D"/>
    <w:rsid w:val="2818370F"/>
    <w:rsid w:val="2838132E"/>
    <w:rsid w:val="284E0B3F"/>
    <w:rsid w:val="28757CC3"/>
    <w:rsid w:val="28D267BF"/>
    <w:rsid w:val="297D6742"/>
    <w:rsid w:val="298D589A"/>
    <w:rsid w:val="29A40FD4"/>
    <w:rsid w:val="2A303947"/>
    <w:rsid w:val="2A66235C"/>
    <w:rsid w:val="2A7B5275"/>
    <w:rsid w:val="2A9659D9"/>
    <w:rsid w:val="2BEE68C4"/>
    <w:rsid w:val="2C98398C"/>
    <w:rsid w:val="2C9C1E8B"/>
    <w:rsid w:val="2CDE6BE4"/>
    <w:rsid w:val="2DEF1E0B"/>
    <w:rsid w:val="2E40086E"/>
    <w:rsid w:val="2E450300"/>
    <w:rsid w:val="2E8A589E"/>
    <w:rsid w:val="2E982802"/>
    <w:rsid w:val="2EA96E4B"/>
    <w:rsid w:val="2F5396A5"/>
    <w:rsid w:val="2FD65A0E"/>
    <w:rsid w:val="301C26FD"/>
    <w:rsid w:val="302A72E5"/>
    <w:rsid w:val="307D2EC0"/>
    <w:rsid w:val="30BC6FA0"/>
    <w:rsid w:val="311D781C"/>
    <w:rsid w:val="312D360D"/>
    <w:rsid w:val="316D33BA"/>
    <w:rsid w:val="31823E7D"/>
    <w:rsid w:val="319B4E07"/>
    <w:rsid w:val="32336D6F"/>
    <w:rsid w:val="327B2961"/>
    <w:rsid w:val="328916CE"/>
    <w:rsid w:val="32B84D39"/>
    <w:rsid w:val="338720FF"/>
    <w:rsid w:val="339E7014"/>
    <w:rsid w:val="33A37FA3"/>
    <w:rsid w:val="34033699"/>
    <w:rsid w:val="34413D46"/>
    <w:rsid w:val="34456AFB"/>
    <w:rsid w:val="34655239"/>
    <w:rsid w:val="346C2B21"/>
    <w:rsid w:val="34B66A58"/>
    <w:rsid w:val="34BC5185"/>
    <w:rsid w:val="35281BD4"/>
    <w:rsid w:val="3572020E"/>
    <w:rsid w:val="359754A3"/>
    <w:rsid w:val="35E14E05"/>
    <w:rsid w:val="367E8FF1"/>
    <w:rsid w:val="36BE5F97"/>
    <w:rsid w:val="372865C0"/>
    <w:rsid w:val="373A4D29"/>
    <w:rsid w:val="37BB14AD"/>
    <w:rsid w:val="37ED7855"/>
    <w:rsid w:val="38160162"/>
    <w:rsid w:val="38196A95"/>
    <w:rsid w:val="382A1D83"/>
    <w:rsid w:val="38445C3E"/>
    <w:rsid w:val="384C0889"/>
    <w:rsid w:val="38887712"/>
    <w:rsid w:val="38D51C69"/>
    <w:rsid w:val="39320314"/>
    <w:rsid w:val="3957064D"/>
    <w:rsid w:val="395B64DA"/>
    <w:rsid w:val="396401D4"/>
    <w:rsid w:val="39820056"/>
    <w:rsid w:val="399F7866"/>
    <w:rsid w:val="39D230A1"/>
    <w:rsid w:val="3A5B31DD"/>
    <w:rsid w:val="3A7457FD"/>
    <w:rsid w:val="3AAC6856"/>
    <w:rsid w:val="3AF967F6"/>
    <w:rsid w:val="3B0134B7"/>
    <w:rsid w:val="3B197282"/>
    <w:rsid w:val="3B70233E"/>
    <w:rsid w:val="3B7B44AA"/>
    <w:rsid w:val="3B7D57F2"/>
    <w:rsid w:val="3BFF7A77"/>
    <w:rsid w:val="3C891BE3"/>
    <w:rsid w:val="3C894C6C"/>
    <w:rsid w:val="3C9157EA"/>
    <w:rsid w:val="3CCF5D57"/>
    <w:rsid w:val="3D6C1086"/>
    <w:rsid w:val="3D722E64"/>
    <w:rsid w:val="3D9AC476"/>
    <w:rsid w:val="3E400D2F"/>
    <w:rsid w:val="3EC25E4A"/>
    <w:rsid w:val="3EFB1794"/>
    <w:rsid w:val="3F2D1CB6"/>
    <w:rsid w:val="3F6B77E0"/>
    <w:rsid w:val="3F7DE03A"/>
    <w:rsid w:val="3FD77A8F"/>
    <w:rsid w:val="3FFC8CB6"/>
    <w:rsid w:val="404B34EF"/>
    <w:rsid w:val="404C3770"/>
    <w:rsid w:val="40D23841"/>
    <w:rsid w:val="42C6780A"/>
    <w:rsid w:val="42D40833"/>
    <w:rsid w:val="42E5474B"/>
    <w:rsid w:val="433F11B1"/>
    <w:rsid w:val="43AD784D"/>
    <w:rsid w:val="43BA5626"/>
    <w:rsid w:val="442D659E"/>
    <w:rsid w:val="4472238A"/>
    <w:rsid w:val="44B06ABF"/>
    <w:rsid w:val="44D53D34"/>
    <w:rsid w:val="452B3EA2"/>
    <w:rsid w:val="456A24D0"/>
    <w:rsid w:val="45954AAA"/>
    <w:rsid w:val="45AC09FB"/>
    <w:rsid w:val="45BD3146"/>
    <w:rsid w:val="45D763B4"/>
    <w:rsid w:val="4619D3E3"/>
    <w:rsid w:val="46EE732F"/>
    <w:rsid w:val="471B4331"/>
    <w:rsid w:val="472D4FDD"/>
    <w:rsid w:val="47542EB9"/>
    <w:rsid w:val="47696A25"/>
    <w:rsid w:val="47BC312C"/>
    <w:rsid w:val="48131A8E"/>
    <w:rsid w:val="48334A59"/>
    <w:rsid w:val="483E3BFF"/>
    <w:rsid w:val="48A95C04"/>
    <w:rsid w:val="48AE321A"/>
    <w:rsid w:val="491C65D8"/>
    <w:rsid w:val="492A08DB"/>
    <w:rsid w:val="49364CAA"/>
    <w:rsid w:val="49405F8D"/>
    <w:rsid w:val="49437E06"/>
    <w:rsid w:val="49863890"/>
    <w:rsid w:val="49A17BDC"/>
    <w:rsid w:val="49C121E0"/>
    <w:rsid w:val="49F349E4"/>
    <w:rsid w:val="4A1672C9"/>
    <w:rsid w:val="4A1C4A42"/>
    <w:rsid w:val="4AC35FA0"/>
    <w:rsid w:val="4BD12B7E"/>
    <w:rsid w:val="4C3F6170"/>
    <w:rsid w:val="4CEC7F37"/>
    <w:rsid w:val="4D4717AD"/>
    <w:rsid w:val="4DF831B6"/>
    <w:rsid w:val="4E6F7147"/>
    <w:rsid w:val="4EB33D00"/>
    <w:rsid w:val="4EED31C8"/>
    <w:rsid w:val="4F0B3174"/>
    <w:rsid w:val="4F133DD7"/>
    <w:rsid w:val="4F3909DA"/>
    <w:rsid w:val="4FB233E6"/>
    <w:rsid w:val="4FE91F7E"/>
    <w:rsid w:val="501F49FD"/>
    <w:rsid w:val="50747DF3"/>
    <w:rsid w:val="50B41DDD"/>
    <w:rsid w:val="50C07F8E"/>
    <w:rsid w:val="50F71F17"/>
    <w:rsid w:val="51143E36"/>
    <w:rsid w:val="51245D05"/>
    <w:rsid w:val="51281F56"/>
    <w:rsid w:val="515D57DD"/>
    <w:rsid w:val="51CA0ACE"/>
    <w:rsid w:val="523D0F25"/>
    <w:rsid w:val="52684B42"/>
    <w:rsid w:val="533D7CB2"/>
    <w:rsid w:val="536F17F8"/>
    <w:rsid w:val="53BF745D"/>
    <w:rsid w:val="53D705E2"/>
    <w:rsid w:val="53FFE5C6"/>
    <w:rsid w:val="54306AF8"/>
    <w:rsid w:val="54512778"/>
    <w:rsid w:val="54587F95"/>
    <w:rsid w:val="545D36A8"/>
    <w:rsid w:val="545D736C"/>
    <w:rsid w:val="54610291"/>
    <w:rsid w:val="54A6532D"/>
    <w:rsid w:val="54A84FC1"/>
    <w:rsid w:val="54AC522B"/>
    <w:rsid w:val="54FE3746"/>
    <w:rsid w:val="55155E0C"/>
    <w:rsid w:val="551B2973"/>
    <w:rsid w:val="552D2E5C"/>
    <w:rsid w:val="56C359DD"/>
    <w:rsid w:val="56F3AC2B"/>
    <w:rsid w:val="57090127"/>
    <w:rsid w:val="57E54222"/>
    <w:rsid w:val="58494E09"/>
    <w:rsid w:val="584C1DCB"/>
    <w:rsid w:val="58D70686"/>
    <w:rsid w:val="58D83760"/>
    <w:rsid w:val="595C45CC"/>
    <w:rsid w:val="59D10718"/>
    <w:rsid w:val="59EC2395"/>
    <w:rsid w:val="5A3E718D"/>
    <w:rsid w:val="5A8110E5"/>
    <w:rsid w:val="5AE55565"/>
    <w:rsid w:val="5B506BB4"/>
    <w:rsid w:val="5BC52C46"/>
    <w:rsid w:val="5C4A25B1"/>
    <w:rsid w:val="5CAC5926"/>
    <w:rsid w:val="5D5C24C3"/>
    <w:rsid w:val="5D6A7F4E"/>
    <w:rsid w:val="5DB20C5F"/>
    <w:rsid w:val="5DD019F5"/>
    <w:rsid w:val="5DDD8F95"/>
    <w:rsid w:val="5DEA03F9"/>
    <w:rsid w:val="5DF3E5A2"/>
    <w:rsid w:val="5DFFBFB6"/>
    <w:rsid w:val="5F495BBA"/>
    <w:rsid w:val="5F785754"/>
    <w:rsid w:val="5FAC7002"/>
    <w:rsid w:val="5FD588E3"/>
    <w:rsid w:val="5FE17F31"/>
    <w:rsid w:val="5FE24796"/>
    <w:rsid w:val="60063E7F"/>
    <w:rsid w:val="604C73D6"/>
    <w:rsid w:val="60EB3725"/>
    <w:rsid w:val="610156C9"/>
    <w:rsid w:val="61505036"/>
    <w:rsid w:val="618B36F7"/>
    <w:rsid w:val="618F2A40"/>
    <w:rsid w:val="62041CF7"/>
    <w:rsid w:val="623E327E"/>
    <w:rsid w:val="62AA61D1"/>
    <w:rsid w:val="62E23D94"/>
    <w:rsid w:val="631020A1"/>
    <w:rsid w:val="634E31D8"/>
    <w:rsid w:val="636E3218"/>
    <w:rsid w:val="636F54AF"/>
    <w:rsid w:val="63A36E16"/>
    <w:rsid w:val="63A52926"/>
    <w:rsid w:val="63C37629"/>
    <w:rsid w:val="63DC2A12"/>
    <w:rsid w:val="63DC6B1F"/>
    <w:rsid w:val="63DD4464"/>
    <w:rsid w:val="646D26C0"/>
    <w:rsid w:val="651D1F32"/>
    <w:rsid w:val="651D4CD1"/>
    <w:rsid w:val="65B71B31"/>
    <w:rsid w:val="65C40B92"/>
    <w:rsid w:val="65C973F1"/>
    <w:rsid w:val="65E10333"/>
    <w:rsid w:val="65EE2A50"/>
    <w:rsid w:val="65F36F30"/>
    <w:rsid w:val="664E2AD3"/>
    <w:rsid w:val="666469B3"/>
    <w:rsid w:val="66756CCD"/>
    <w:rsid w:val="66773A89"/>
    <w:rsid w:val="67224BD9"/>
    <w:rsid w:val="67346B89"/>
    <w:rsid w:val="67C26E4E"/>
    <w:rsid w:val="67DD2015"/>
    <w:rsid w:val="67E956C5"/>
    <w:rsid w:val="682D4F2F"/>
    <w:rsid w:val="683F6098"/>
    <w:rsid w:val="68D84F91"/>
    <w:rsid w:val="68E955FE"/>
    <w:rsid w:val="6945507D"/>
    <w:rsid w:val="69774CFC"/>
    <w:rsid w:val="69AE2C22"/>
    <w:rsid w:val="69C7768E"/>
    <w:rsid w:val="69CD45A5"/>
    <w:rsid w:val="69FD34D2"/>
    <w:rsid w:val="6A18591D"/>
    <w:rsid w:val="6A471105"/>
    <w:rsid w:val="6A7C301C"/>
    <w:rsid w:val="6ABC4ECB"/>
    <w:rsid w:val="6ADE7537"/>
    <w:rsid w:val="6B6120F0"/>
    <w:rsid w:val="6B6B1455"/>
    <w:rsid w:val="6BC73CC4"/>
    <w:rsid w:val="6BFAE217"/>
    <w:rsid w:val="6BFD45F1"/>
    <w:rsid w:val="6BFF7765"/>
    <w:rsid w:val="6C513F98"/>
    <w:rsid w:val="6C570D03"/>
    <w:rsid w:val="6C6F377C"/>
    <w:rsid w:val="6CAA550D"/>
    <w:rsid w:val="6CAB6D43"/>
    <w:rsid w:val="6CF52916"/>
    <w:rsid w:val="6D141ABD"/>
    <w:rsid w:val="6D33F0EB"/>
    <w:rsid w:val="6DE6DE0A"/>
    <w:rsid w:val="6E5B2C4D"/>
    <w:rsid w:val="6E670911"/>
    <w:rsid w:val="6EA134E6"/>
    <w:rsid w:val="6EAE46B5"/>
    <w:rsid w:val="6EE8E776"/>
    <w:rsid w:val="6F301E66"/>
    <w:rsid w:val="6F371ED0"/>
    <w:rsid w:val="6F550F67"/>
    <w:rsid w:val="6F667AFB"/>
    <w:rsid w:val="6F703F90"/>
    <w:rsid w:val="6FB719D6"/>
    <w:rsid w:val="6FBC8996"/>
    <w:rsid w:val="6FE9E425"/>
    <w:rsid w:val="6FFAA24C"/>
    <w:rsid w:val="702B7173"/>
    <w:rsid w:val="706865F7"/>
    <w:rsid w:val="70E7583E"/>
    <w:rsid w:val="71533AF6"/>
    <w:rsid w:val="71E7B4CD"/>
    <w:rsid w:val="721056AE"/>
    <w:rsid w:val="7271463C"/>
    <w:rsid w:val="72B8073F"/>
    <w:rsid w:val="73715675"/>
    <w:rsid w:val="73911E11"/>
    <w:rsid w:val="73D3EA02"/>
    <w:rsid w:val="74003C8C"/>
    <w:rsid w:val="741C00B3"/>
    <w:rsid w:val="74FE2941"/>
    <w:rsid w:val="74FFA0AA"/>
    <w:rsid w:val="75C13D55"/>
    <w:rsid w:val="75DD6193"/>
    <w:rsid w:val="75E6E744"/>
    <w:rsid w:val="75F60E9D"/>
    <w:rsid w:val="763E6BD3"/>
    <w:rsid w:val="76663188"/>
    <w:rsid w:val="76E539FB"/>
    <w:rsid w:val="76FE0619"/>
    <w:rsid w:val="77181B0C"/>
    <w:rsid w:val="772E5DA1"/>
    <w:rsid w:val="77759999"/>
    <w:rsid w:val="77903EBB"/>
    <w:rsid w:val="77972F48"/>
    <w:rsid w:val="77BF2615"/>
    <w:rsid w:val="77E116BC"/>
    <w:rsid w:val="77EA913C"/>
    <w:rsid w:val="77EE3982"/>
    <w:rsid w:val="78222126"/>
    <w:rsid w:val="789A1388"/>
    <w:rsid w:val="78A344D3"/>
    <w:rsid w:val="78AC5575"/>
    <w:rsid w:val="78BC7808"/>
    <w:rsid w:val="78ED6D2C"/>
    <w:rsid w:val="79867F92"/>
    <w:rsid w:val="79E6A8C4"/>
    <w:rsid w:val="79EF53C7"/>
    <w:rsid w:val="79FE105C"/>
    <w:rsid w:val="7A1349D4"/>
    <w:rsid w:val="7A1D6DD0"/>
    <w:rsid w:val="7A7477C0"/>
    <w:rsid w:val="7A7A5E1B"/>
    <w:rsid w:val="7ADE068E"/>
    <w:rsid w:val="7B4231CA"/>
    <w:rsid w:val="7B5F0747"/>
    <w:rsid w:val="7B6D0D59"/>
    <w:rsid w:val="7B78214E"/>
    <w:rsid w:val="7BA1140A"/>
    <w:rsid w:val="7BFD761B"/>
    <w:rsid w:val="7C104E1F"/>
    <w:rsid w:val="7C1CED8B"/>
    <w:rsid w:val="7C6F0533"/>
    <w:rsid w:val="7C8B583D"/>
    <w:rsid w:val="7CA23061"/>
    <w:rsid w:val="7CA625B9"/>
    <w:rsid w:val="7CD500E3"/>
    <w:rsid w:val="7CF77107"/>
    <w:rsid w:val="7D4B148D"/>
    <w:rsid w:val="7D5A0C9F"/>
    <w:rsid w:val="7DB74970"/>
    <w:rsid w:val="7DBF68B1"/>
    <w:rsid w:val="7DD93C19"/>
    <w:rsid w:val="7DDB897D"/>
    <w:rsid w:val="7DEFECBF"/>
    <w:rsid w:val="7DFB07CC"/>
    <w:rsid w:val="7E422BC1"/>
    <w:rsid w:val="7E654149"/>
    <w:rsid w:val="7E747B3F"/>
    <w:rsid w:val="7EB8633D"/>
    <w:rsid w:val="7EBA17F7"/>
    <w:rsid w:val="7EBB3620"/>
    <w:rsid w:val="7EBFD4BA"/>
    <w:rsid w:val="7EC80F77"/>
    <w:rsid w:val="7ED700CE"/>
    <w:rsid w:val="7F3B438A"/>
    <w:rsid w:val="7F3F562F"/>
    <w:rsid w:val="7F5646F6"/>
    <w:rsid w:val="7F5FF969"/>
    <w:rsid w:val="7F76145D"/>
    <w:rsid w:val="7F9F2ADA"/>
    <w:rsid w:val="7FAE2029"/>
    <w:rsid w:val="7FAF7782"/>
    <w:rsid w:val="7FAFF0EB"/>
    <w:rsid w:val="7FBD48A3"/>
    <w:rsid w:val="7FBFB3CC"/>
    <w:rsid w:val="7FC378F0"/>
    <w:rsid w:val="7FC71F87"/>
    <w:rsid w:val="7FEBC8E8"/>
    <w:rsid w:val="7FF1A09A"/>
    <w:rsid w:val="85FEDE68"/>
    <w:rsid w:val="87BFE53B"/>
    <w:rsid w:val="8FDD27EE"/>
    <w:rsid w:val="9777CAC6"/>
    <w:rsid w:val="9C648884"/>
    <w:rsid w:val="9FCE9A37"/>
    <w:rsid w:val="AB961F47"/>
    <w:rsid w:val="AC3D864B"/>
    <w:rsid w:val="B397A8A0"/>
    <w:rsid w:val="B5DFBF33"/>
    <w:rsid w:val="B99FE5CC"/>
    <w:rsid w:val="B9A37D23"/>
    <w:rsid w:val="B9FFBF17"/>
    <w:rsid w:val="BBDEE582"/>
    <w:rsid w:val="BBE6541E"/>
    <w:rsid w:val="BF7FDFA4"/>
    <w:rsid w:val="BFBB9B02"/>
    <w:rsid w:val="BFEBEE76"/>
    <w:rsid w:val="BFEF9049"/>
    <w:rsid w:val="BFF289E3"/>
    <w:rsid w:val="BFFFFED6"/>
    <w:rsid w:val="CDFEA04E"/>
    <w:rsid w:val="CE3E4430"/>
    <w:rsid w:val="CFEF9BEC"/>
    <w:rsid w:val="CFF5401C"/>
    <w:rsid w:val="D5C2A4BD"/>
    <w:rsid w:val="DD5B0012"/>
    <w:rsid w:val="DD6D1B80"/>
    <w:rsid w:val="DF386B54"/>
    <w:rsid w:val="DF7B1C0C"/>
    <w:rsid w:val="DF8B0F27"/>
    <w:rsid w:val="DFED350F"/>
    <w:rsid w:val="DFFF1028"/>
    <w:rsid w:val="E3E7D62B"/>
    <w:rsid w:val="E3FBED65"/>
    <w:rsid w:val="E457F527"/>
    <w:rsid w:val="E49F4251"/>
    <w:rsid w:val="E4BFEB1D"/>
    <w:rsid w:val="E75DCFE1"/>
    <w:rsid w:val="E7AD2361"/>
    <w:rsid w:val="ECFF389F"/>
    <w:rsid w:val="EDCFB872"/>
    <w:rsid w:val="EDED875F"/>
    <w:rsid w:val="EDEF30F7"/>
    <w:rsid w:val="EEBCCA8C"/>
    <w:rsid w:val="EEEB8BD2"/>
    <w:rsid w:val="EEF5106F"/>
    <w:rsid w:val="F1BE4773"/>
    <w:rsid w:val="F27FD375"/>
    <w:rsid w:val="F57D124E"/>
    <w:rsid w:val="F57F6D7F"/>
    <w:rsid w:val="F63D53E8"/>
    <w:rsid w:val="F6AFEB8B"/>
    <w:rsid w:val="F7DF0A79"/>
    <w:rsid w:val="FB3F9B18"/>
    <w:rsid w:val="FB7F077E"/>
    <w:rsid w:val="FBCFE92E"/>
    <w:rsid w:val="FBDFCA4E"/>
    <w:rsid w:val="FBF88D51"/>
    <w:rsid w:val="FC265BB8"/>
    <w:rsid w:val="FCCAAD1F"/>
    <w:rsid w:val="FD67A650"/>
    <w:rsid w:val="FDBFBD1A"/>
    <w:rsid w:val="FDEEB132"/>
    <w:rsid w:val="FDF792F3"/>
    <w:rsid w:val="FDFD32D6"/>
    <w:rsid w:val="FEEEF9FA"/>
    <w:rsid w:val="FF3F4E06"/>
    <w:rsid w:val="FF97E806"/>
    <w:rsid w:val="FFBFCC55"/>
    <w:rsid w:val="FFCF7B0E"/>
    <w:rsid w:val="FFDB9195"/>
    <w:rsid w:val="FFECAFF8"/>
    <w:rsid w:val="FFEF25B6"/>
    <w:rsid w:val="FFF719E3"/>
    <w:rsid w:val="FFF8B45A"/>
    <w:rsid w:val="FFFB7E9B"/>
    <w:rsid w:val="FFFBE6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ocked="1"/>
    <w:lsdException w:uiPriority="99" w:name="footnote text" w:locked="1"/>
    <w:lsdException w:qFormat="1"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qFormat="1" w:unhideWhenUsed="0" w:uiPriority="0" w:semiHidden="0"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semiHidden="0" w:name="Date" w:locked="1"/>
    <w:lsdException w:qFormat="1" w:uiPriority="99" w:name="Body Text First Indent" w:locked="1"/>
    <w:lsdException w:qFormat="1" w:uiPriority="99" w:name="Body Text First Indent 2" w:locked="1"/>
    <w:lsdException w:uiPriority="99" w:name="Note Heading" w:locked="1"/>
    <w:lsdException w:qFormat="1" w:uiPriority="99" w:name="Body Text 2" w:locked="1"/>
    <w:lsdException w:qFormat="1" w:uiPriority="0" w:semiHidden="0"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iPriority="99" w:semiHidden="0" w:name="Document Map" w:locked="1"/>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71"/>
    <w:qFormat/>
    <w:uiPriority w:val="0"/>
    <w:pPr>
      <w:keepNext/>
      <w:keepLines/>
      <w:adjustRightInd w:val="0"/>
      <w:snapToGrid w:val="0"/>
      <w:outlineLvl w:val="0"/>
    </w:pPr>
    <w:rPr>
      <w:rFonts w:eastAsia="黑体"/>
      <w:bCs/>
      <w:kern w:val="44"/>
      <w:szCs w:val="44"/>
    </w:rPr>
  </w:style>
  <w:style w:type="paragraph" w:styleId="4">
    <w:name w:val="heading 2"/>
    <w:basedOn w:val="1"/>
    <w:next w:val="1"/>
    <w:link w:val="48"/>
    <w:qFormat/>
    <w:uiPriority w:val="0"/>
    <w:pPr>
      <w:keepNext/>
      <w:keepLines/>
      <w:outlineLvl w:val="1"/>
    </w:pPr>
    <w:rPr>
      <w:rFonts w:ascii="Arial" w:hAnsi="Arial" w:eastAsia="楷体_GB2312"/>
      <w:bCs/>
      <w:szCs w:val="32"/>
    </w:rPr>
  </w:style>
  <w:style w:type="paragraph" w:styleId="5">
    <w:name w:val="heading 3"/>
    <w:basedOn w:val="1"/>
    <w:next w:val="1"/>
    <w:link w:val="77"/>
    <w:unhideWhenUsed/>
    <w:qFormat/>
    <w:uiPriority w:val="0"/>
    <w:pPr>
      <w:keepNext/>
      <w:keepLines/>
      <w:outlineLvl w:val="2"/>
    </w:pPr>
    <w:rPr>
      <w:b/>
      <w:bCs/>
      <w:szCs w:val="32"/>
    </w:rPr>
  </w:style>
  <w:style w:type="paragraph" w:styleId="6">
    <w:name w:val="heading 4"/>
    <w:basedOn w:val="1"/>
    <w:next w:val="1"/>
    <w:link w:val="68"/>
    <w:qFormat/>
    <w:uiPriority w:val="0"/>
    <w:pPr>
      <w:keepNext/>
      <w:keepLines/>
      <w:spacing w:before="280" w:after="290" w:line="376" w:lineRule="auto"/>
      <w:outlineLvl w:val="3"/>
    </w:pPr>
    <w:rPr>
      <w:rFonts w:ascii="Arial" w:hAnsi="Arial" w:eastAsia="黑体"/>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pPr>
    <w:rPr>
      <w:rFonts w:asciiTheme="minorHAnsi" w:hAnsiTheme="minorHAnsi"/>
      <w:b/>
      <w:bCs/>
      <w:caps/>
      <w:sz w:val="20"/>
    </w:rPr>
  </w:style>
  <w:style w:type="paragraph" w:styleId="7">
    <w:name w:val="toc 7"/>
    <w:basedOn w:val="1"/>
    <w:next w:val="1"/>
    <w:unhideWhenUsed/>
    <w:qFormat/>
    <w:uiPriority w:val="0"/>
    <w:pPr>
      <w:ind w:left="1680"/>
    </w:pPr>
    <w:rPr>
      <w:rFonts w:asciiTheme="minorHAnsi" w:hAnsiTheme="minorHAnsi"/>
      <w:sz w:val="18"/>
      <w:szCs w:val="18"/>
    </w:rPr>
  </w:style>
  <w:style w:type="paragraph" w:styleId="8">
    <w:name w:val="Normal Indent"/>
    <w:basedOn w:val="1"/>
    <w:link w:val="122"/>
    <w:qFormat/>
    <w:locked/>
    <w:uiPriority w:val="0"/>
    <w:pPr>
      <w:autoSpaceDE w:val="0"/>
      <w:autoSpaceDN w:val="0"/>
      <w:adjustRightInd w:val="0"/>
      <w:ind w:firstLine="420"/>
    </w:pPr>
  </w:style>
  <w:style w:type="paragraph" w:styleId="9">
    <w:name w:val="Document Map"/>
    <w:basedOn w:val="1"/>
    <w:link w:val="67"/>
    <w:unhideWhenUsed/>
    <w:qFormat/>
    <w:locked/>
    <w:uiPriority w:val="99"/>
    <w:rPr>
      <w:sz w:val="18"/>
      <w:szCs w:val="18"/>
    </w:rPr>
  </w:style>
  <w:style w:type="paragraph" w:styleId="10">
    <w:name w:val="toa heading"/>
    <w:basedOn w:val="1"/>
    <w:next w:val="1"/>
    <w:qFormat/>
    <w:locked/>
    <w:uiPriority w:val="0"/>
    <w:pPr>
      <w:spacing w:before="120"/>
    </w:pPr>
    <w:rPr>
      <w:rFonts w:ascii="Arial" w:hAnsi="Arial" w:cs="Arial"/>
    </w:rPr>
  </w:style>
  <w:style w:type="paragraph" w:styleId="11">
    <w:name w:val="annotation text"/>
    <w:basedOn w:val="1"/>
    <w:link w:val="74"/>
    <w:unhideWhenUsed/>
    <w:qFormat/>
    <w:locked/>
    <w:uiPriority w:val="0"/>
  </w:style>
  <w:style w:type="paragraph" w:styleId="12">
    <w:name w:val="Body Text 3"/>
    <w:basedOn w:val="1"/>
    <w:link w:val="76"/>
    <w:unhideWhenUsed/>
    <w:qFormat/>
    <w:locked/>
    <w:uiPriority w:val="0"/>
  </w:style>
  <w:style w:type="paragraph" w:styleId="13">
    <w:name w:val="Body Text"/>
    <w:basedOn w:val="1"/>
    <w:next w:val="14"/>
    <w:link w:val="78"/>
    <w:unhideWhenUsed/>
    <w:qFormat/>
    <w:locked/>
    <w:uiPriority w:val="99"/>
    <w:pPr>
      <w:spacing w:after="120"/>
    </w:pPr>
  </w:style>
  <w:style w:type="paragraph" w:styleId="14">
    <w:name w:val="toc 2"/>
    <w:basedOn w:val="1"/>
    <w:next w:val="1"/>
    <w:unhideWhenUsed/>
    <w:qFormat/>
    <w:uiPriority w:val="39"/>
    <w:pPr>
      <w:ind w:left="280"/>
    </w:pPr>
    <w:rPr>
      <w:rFonts w:asciiTheme="minorHAnsi" w:hAnsiTheme="minorHAnsi"/>
      <w:smallCaps/>
      <w:sz w:val="20"/>
    </w:rPr>
  </w:style>
  <w:style w:type="paragraph" w:styleId="15">
    <w:name w:val="Body Text Indent"/>
    <w:basedOn w:val="1"/>
    <w:next w:val="16"/>
    <w:link w:val="88"/>
    <w:qFormat/>
    <w:locked/>
    <w:uiPriority w:val="0"/>
    <w:pPr>
      <w:spacing w:after="120"/>
      <w:ind w:left="420" w:leftChars="200"/>
    </w:pPr>
    <w:rPr>
      <w:rFonts w:asciiTheme="minorHAnsi" w:hAnsiTheme="minorHAnsi" w:eastAsiaTheme="minorEastAsia" w:cstheme="minorBidi"/>
      <w:sz w:val="21"/>
      <w:szCs w:val="22"/>
    </w:rPr>
  </w:style>
  <w:style w:type="paragraph" w:styleId="16">
    <w:name w:val="Body Text First Indent 2"/>
    <w:basedOn w:val="15"/>
    <w:link w:val="110"/>
    <w:semiHidden/>
    <w:unhideWhenUsed/>
    <w:qFormat/>
    <w:locked/>
    <w:uiPriority w:val="99"/>
    <w:pPr>
      <w:spacing w:line="600" w:lineRule="exact"/>
      <w:ind w:firstLine="420" w:firstLineChars="200"/>
    </w:pPr>
    <w:rPr>
      <w:rFonts w:ascii="Times New Roman" w:hAnsi="Times New Roman" w:eastAsia="仿宋_GB2312" w:cs="Times New Roman"/>
      <w:sz w:val="28"/>
      <w:szCs w:val="20"/>
    </w:rPr>
  </w:style>
  <w:style w:type="paragraph" w:styleId="17">
    <w:name w:val="toc 5"/>
    <w:basedOn w:val="1"/>
    <w:next w:val="1"/>
    <w:unhideWhenUsed/>
    <w:qFormat/>
    <w:uiPriority w:val="0"/>
    <w:pPr>
      <w:ind w:left="1120"/>
    </w:pPr>
    <w:rPr>
      <w:rFonts w:asciiTheme="minorHAnsi" w:hAnsiTheme="minorHAnsi"/>
      <w:sz w:val="18"/>
      <w:szCs w:val="18"/>
    </w:rPr>
  </w:style>
  <w:style w:type="paragraph" w:styleId="18">
    <w:name w:val="toc 3"/>
    <w:basedOn w:val="1"/>
    <w:next w:val="1"/>
    <w:unhideWhenUsed/>
    <w:qFormat/>
    <w:uiPriority w:val="39"/>
    <w:pPr>
      <w:ind w:left="560"/>
    </w:pPr>
    <w:rPr>
      <w:rFonts w:asciiTheme="minorHAnsi" w:hAnsiTheme="minorHAnsi"/>
      <w:i/>
      <w:iCs/>
      <w:sz w:val="20"/>
    </w:rPr>
  </w:style>
  <w:style w:type="paragraph" w:styleId="19">
    <w:name w:val="Plain Text"/>
    <w:basedOn w:val="1"/>
    <w:link w:val="51"/>
    <w:qFormat/>
    <w:uiPriority w:val="0"/>
    <w:rPr>
      <w:rFonts w:hAnsi="Courier New" w:cs="Courier New"/>
      <w:szCs w:val="21"/>
    </w:rPr>
  </w:style>
  <w:style w:type="paragraph" w:styleId="20">
    <w:name w:val="toc 8"/>
    <w:basedOn w:val="1"/>
    <w:next w:val="1"/>
    <w:unhideWhenUsed/>
    <w:qFormat/>
    <w:uiPriority w:val="0"/>
    <w:pPr>
      <w:ind w:left="1960"/>
    </w:pPr>
    <w:rPr>
      <w:rFonts w:asciiTheme="minorHAnsi" w:hAnsiTheme="minorHAnsi"/>
      <w:sz w:val="18"/>
      <w:szCs w:val="18"/>
    </w:rPr>
  </w:style>
  <w:style w:type="paragraph" w:styleId="21">
    <w:name w:val="Date"/>
    <w:basedOn w:val="1"/>
    <w:next w:val="1"/>
    <w:link w:val="69"/>
    <w:unhideWhenUsed/>
    <w:qFormat/>
    <w:locked/>
    <w:uiPriority w:val="99"/>
    <w:pPr>
      <w:ind w:left="100" w:leftChars="2500"/>
    </w:pPr>
  </w:style>
  <w:style w:type="paragraph" w:styleId="22">
    <w:name w:val="Balloon Text"/>
    <w:basedOn w:val="1"/>
    <w:link w:val="66"/>
    <w:unhideWhenUsed/>
    <w:qFormat/>
    <w:locked/>
    <w:uiPriority w:val="99"/>
    <w:rPr>
      <w:sz w:val="18"/>
      <w:szCs w:val="18"/>
    </w:rPr>
  </w:style>
  <w:style w:type="paragraph" w:styleId="23">
    <w:name w:val="footer"/>
    <w:basedOn w:val="1"/>
    <w:link w:val="52"/>
    <w:qFormat/>
    <w:uiPriority w:val="99"/>
    <w:pPr>
      <w:tabs>
        <w:tab w:val="center" w:pos="4153"/>
        <w:tab w:val="right" w:pos="8306"/>
      </w:tabs>
      <w:snapToGrid w:val="0"/>
    </w:pPr>
    <w:rPr>
      <w:rFonts w:ascii="Calibri" w:hAnsi="Calibri"/>
      <w:sz w:val="18"/>
      <w:szCs w:val="18"/>
    </w:rPr>
  </w:style>
  <w:style w:type="paragraph" w:styleId="24">
    <w:name w:val="header"/>
    <w:basedOn w:val="1"/>
    <w:link w:val="5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5">
    <w:name w:val="toc 4"/>
    <w:basedOn w:val="1"/>
    <w:next w:val="1"/>
    <w:unhideWhenUsed/>
    <w:qFormat/>
    <w:uiPriority w:val="0"/>
    <w:pPr>
      <w:ind w:left="840"/>
    </w:pPr>
    <w:rPr>
      <w:rFonts w:asciiTheme="minorHAnsi" w:hAnsiTheme="minorHAnsi"/>
      <w:sz w:val="18"/>
      <w:szCs w:val="18"/>
    </w:rPr>
  </w:style>
  <w:style w:type="paragraph" w:styleId="26">
    <w:name w:val="toc 6"/>
    <w:basedOn w:val="1"/>
    <w:next w:val="1"/>
    <w:unhideWhenUsed/>
    <w:qFormat/>
    <w:uiPriority w:val="0"/>
    <w:pPr>
      <w:ind w:left="1400"/>
    </w:pPr>
    <w:rPr>
      <w:rFonts w:asciiTheme="minorHAnsi" w:hAnsiTheme="minorHAnsi"/>
      <w:sz w:val="18"/>
      <w:szCs w:val="18"/>
    </w:rPr>
  </w:style>
  <w:style w:type="paragraph" w:styleId="27">
    <w:name w:val="table of figures"/>
    <w:basedOn w:val="1"/>
    <w:next w:val="1"/>
    <w:qFormat/>
    <w:locked/>
    <w:uiPriority w:val="0"/>
    <w:pPr>
      <w:ind w:left="840" w:leftChars="200" w:hanging="420" w:hangingChars="200"/>
    </w:pPr>
  </w:style>
  <w:style w:type="paragraph" w:styleId="28">
    <w:name w:val="toc 9"/>
    <w:basedOn w:val="1"/>
    <w:next w:val="1"/>
    <w:unhideWhenUsed/>
    <w:qFormat/>
    <w:uiPriority w:val="0"/>
    <w:pPr>
      <w:ind w:left="2240"/>
    </w:pPr>
    <w:rPr>
      <w:rFonts w:asciiTheme="minorHAnsi" w:hAnsiTheme="minorHAnsi"/>
      <w:sz w:val="18"/>
      <w:szCs w:val="18"/>
    </w:rPr>
  </w:style>
  <w:style w:type="paragraph" w:styleId="29">
    <w:name w:val="Body Text 2"/>
    <w:basedOn w:val="1"/>
    <w:link w:val="107"/>
    <w:semiHidden/>
    <w:unhideWhenUsed/>
    <w:qFormat/>
    <w:locked/>
    <w:uiPriority w:val="99"/>
    <w:pPr>
      <w:spacing w:after="120" w:line="480" w:lineRule="auto"/>
    </w:pPr>
  </w:style>
  <w:style w:type="paragraph" w:styleId="30">
    <w:name w:val="Normal (Web)"/>
    <w:basedOn w:val="1"/>
    <w:qFormat/>
    <w:uiPriority w:val="0"/>
  </w:style>
  <w:style w:type="paragraph" w:styleId="31">
    <w:name w:val="annotation subject"/>
    <w:basedOn w:val="11"/>
    <w:next w:val="11"/>
    <w:link w:val="75"/>
    <w:unhideWhenUsed/>
    <w:qFormat/>
    <w:locked/>
    <w:uiPriority w:val="99"/>
    <w:rPr>
      <w:b/>
      <w:bCs/>
    </w:rPr>
  </w:style>
  <w:style w:type="paragraph" w:styleId="32">
    <w:name w:val="Body Text First Indent"/>
    <w:basedOn w:val="13"/>
    <w:link w:val="126"/>
    <w:semiHidden/>
    <w:unhideWhenUsed/>
    <w:qFormat/>
    <w:locked/>
    <w:uiPriority w:val="99"/>
    <w:pPr>
      <w:widowControl w:val="0"/>
      <w:spacing w:line="600" w:lineRule="exact"/>
      <w:ind w:firstLine="420" w:firstLineChars="100"/>
      <w:jc w:val="both"/>
    </w:pPr>
    <w:rPr>
      <w:rFonts w:ascii="Times New Roman" w:hAnsi="Times New Roman" w:eastAsia="仿宋_GB2312" w:cs="Times New Roman"/>
      <w:kern w:val="2"/>
      <w:sz w:val="28"/>
      <w:szCs w:val="20"/>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99"/>
    <w:rPr>
      <w:rFonts w:cs="Times New Roman"/>
    </w:rPr>
  </w:style>
  <w:style w:type="character" w:styleId="37">
    <w:name w:val="page number"/>
    <w:basedOn w:val="35"/>
    <w:qFormat/>
    <w:uiPriority w:val="99"/>
    <w:rPr>
      <w:rFonts w:cs="Times New Roman"/>
    </w:rPr>
  </w:style>
  <w:style w:type="character" w:styleId="38">
    <w:name w:val="FollowedHyperlink"/>
    <w:basedOn w:val="35"/>
    <w:qFormat/>
    <w:uiPriority w:val="99"/>
    <w:rPr>
      <w:rFonts w:cs="Times New Roman"/>
      <w:color w:val="338DE6"/>
      <w:u w:val="none"/>
    </w:rPr>
  </w:style>
  <w:style w:type="character" w:styleId="39">
    <w:name w:val="Emphasis"/>
    <w:basedOn w:val="35"/>
    <w:qFormat/>
    <w:uiPriority w:val="99"/>
    <w:rPr>
      <w:rFonts w:cs="Times New Roman"/>
    </w:rPr>
  </w:style>
  <w:style w:type="character" w:styleId="40">
    <w:name w:val="HTML Definition"/>
    <w:basedOn w:val="35"/>
    <w:qFormat/>
    <w:uiPriority w:val="99"/>
    <w:rPr>
      <w:rFonts w:cs="Times New Roman"/>
    </w:rPr>
  </w:style>
  <w:style w:type="character" w:styleId="41">
    <w:name w:val="HTML Variable"/>
    <w:basedOn w:val="35"/>
    <w:qFormat/>
    <w:uiPriority w:val="99"/>
    <w:rPr>
      <w:rFonts w:cs="Times New Roman"/>
    </w:rPr>
  </w:style>
  <w:style w:type="character" w:styleId="42">
    <w:name w:val="Hyperlink"/>
    <w:basedOn w:val="35"/>
    <w:qFormat/>
    <w:uiPriority w:val="99"/>
    <w:rPr>
      <w:rFonts w:cs="Times New Roman"/>
      <w:color w:val="338DE6"/>
      <w:u w:val="none"/>
    </w:rPr>
  </w:style>
  <w:style w:type="character" w:styleId="43">
    <w:name w:val="HTML Code"/>
    <w:basedOn w:val="35"/>
    <w:qFormat/>
    <w:uiPriority w:val="99"/>
    <w:rPr>
      <w:rFonts w:ascii="monospace" w:hAnsi="monospace" w:cs="monospace"/>
      <w:color w:val="338DE6"/>
      <w:sz w:val="21"/>
      <w:szCs w:val="21"/>
      <w:u w:val="none"/>
      <w:bdr w:val="single" w:color="52A3F5" w:sz="6" w:space="0"/>
      <w:shd w:val="clear" w:color="auto" w:fill="52A3F5"/>
    </w:rPr>
  </w:style>
  <w:style w:type="character" w:styleId="44">
    <w:name w:val="annotation reference"/>
    <w:basedOn w:val="35"/>
    <w:unhideWhenUsed/>
    <w:qFormat/>
    <w:locked/>
    <w:uiPriority w:val="99"/>
    <w:rPr>
      <w:sz w:val="21"/>
      <w:szCs w:val="21"/>
    </w:rPr>
  </w:style>
  <w:style w:type="character" w:styleId="45">
    <w:name w:val="HTML Cite"/>
    <w:basedOn w:val="35"/>
    <w:qFormat/>
    <w:uiPriority w:val="99"/>
    <w:rPr>
      <w:rFonts w:cs="Times New Roman"/>
    </w:rPr>
  </w:style>
  <w:style w:type="character" w:styleId="46">
    <w:name w:val="HTML Keyboard"/>
    <w:basedOn w:val="35"/>
    <w:qFormat/>
    <w:uiPriority w:val="99"/>
    <w:rPr>
      <w:rFonts w:ascii="monospace" w:hAnsi="monospace" w:cs="monospace"/>
      <w:sz w:val="21"/>
      <w:szCs w:val="21"/>
    </w:rPr>
  </w:style>
  <w:style w:type="character" w:styleId="47">
    <w:name w:val="HTML Sample"/>
    <w:basedOn w:val="35"/>
    <w:qFormat/>
    <w:uiPriority w:val="99"/>
    <w:rPr>
      <w:rFonts w:ascii="monospace" w:hAnsi="monospace" w:cs="monospace"/>
      <w:sz w:val="21"/>
      <w:szCs w:val="21"/>
    </w:rPr>
  </w:style>
  <w:style w:type="character" w:customStyle="1" w:styleId="48">
    <w:name w:val="标题 2 字符"/>
    <w:basedOn w:val="35"/>
    <w:link w:val="4"/>
    <w:qFormat/>
    <w:uiPriority w:val="0"/>
    <w:rPr>
      <w:rFonts w:ascii="Arial" w:hAnsi="Arial" w:eastAsia="楷体_GB2312"/>
      <w:bCs/>
      <w:kern w:val="2"/>
      <w:sz w:val="28"/>
      <w:szCs w:val="32"/>
    </w:rPr>
  </w:style>
  <w:style w:type="paragraph" w:customStyle="1" w:styleId="49">
    <w:name w:val="标题 5（有编号）（绿盟科技）"/>
    <w:basedOn w:val="1"/>
    <w:next w:val="50"/>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5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1">
    <w:name w:val="纯文本 字符"/>
    <w:basedOn w:val="35"/>
    <w:link w:val="19"/>
    <w:qFormat/>
    <w:locked/>
    <w:uiPriority w:val="0"/>
    <w:rPr>
      <w:rFonts w:ascii="宋体" w:hAnsi="Courier New" w:eastAsia="宋体" w:cs="Courier New"/>
      <w:sz w:val="21"/>
      <w:szCs w:val="21"/>
    </w:rPr>
  </w:style>
  <w:style w:type="character" w:customStyle="1" w:styleId="52">
    <w:name w:val="页脚 字符"/>
    <w:basedOn w:val="35"/>
    <w:link w:val="23"/>
    <w:qFormat/>
    <w:locked/>
    <w:uiPriority w:val="99"/>
    <w:rPr>
      <w:rFonts w:cs="Times New Roman"/>
      <w:sz w:val="18"/>
      <w:szCs w:val="18"/>
    </w:rPr>
  </w:style>
  <w:style w:type="character" w:customStyle="1" w:styleId="53">
    <w:name w:val="页眉 字符"/>
    <w:basedOn w:val="35"/>
    <w:link w:val="24"/>
    <w:qFormat/>
    <w:locked/>
    <w:uiPriority w:val="0"/>
    <w:rPr>
      <w:rFonts w:cs="Times New Roman"/>
      <w:sz w:val="18"/>
      <w:szCs w:val="18"/>
    </w:rPr>
  </w:style>
  <w:style w:type="character" w:customStyle="1" w:styleId="54">
    <w:name w:val="fontstrikethrough"/>
    <w:basedOn w:val="35"/>
    <w:qFormat/>
    <w:uiPriority w:val="99"/>
    <w:rPr>
      <w:rFonts w:cs="Times New Roman"/>
      <w:strike/>
    </w:rPr>
  </w:style>
  <w:style w:type="character" w:customStyle="1" w:styleId="55">
    <w:name w:val="fontborder"/>
    <w:basedOn w:val="35"/>
    <w:qFormat/>
    <w:uiPriority w:val="99"/>
    <w:rPr>
      <w:rFonts w:cs="Times New Roman"/>
      <w:bdr w:val="single" w:color="000000" w:sz="6" w:space="0"/>
    </w:rPr>
  </w:style>
  <w:style w:type="character" w:customStyle="1" w:styleId="56">
    <w:name w:val="bds_more"/>
    <w:basedOn w:val="35"/>
    <w:qFormat/>
    <w:uiPriority w:val="99"/>
    <w:rPr>
      <w:rFonts w:ascii="宋体" w:hAnsi="宋体" w:eastAsia="宋体" w:cs="宋体"/>
    </w:rPr>
  </w:style>
  <w:style w:type="character" w:customStyle="1" w:styleId="57">
    <w:name w:val="bds_more1"/>
    <w:basedOn w:val="35"/>
    <w:qFormat/>
    <w:uiPriority w:val="99"/>
    <w:rPr>
      <w:rFonts w:cs="Times New Roman"/>
    </w:rPr>
  </w:style>
  <w:style w:type="character" w:customStyle="1" w:styleId="58">
    <w:name w:val="bds_more2"/>
    <w:basedOn w:val="35"/>
    <w:qFormat/>
    <w:uiPriority w:val="99"/>
    <w:rPr>
      <w:rFonts w:cs="Times New Roman"/>
    </w:rPr>
  </w:style>
  <w:style w:type="character" w:customStyle="1" w:styleId="59">
    <w:name w:val="bds_nopic"/>
    <w:basedOn w:val="35"/>
    <w:qFormat/>
    <w:uiPriority w:val="99"/>
    <w:rPr>
      <w:rFonts w:cs="Times New Roman"/>
    </w:rPr>
  </w:style>
  <w:style w:type="character" w:customStyle="1" w:styleId="60">
    <w:name w:val="bds_nopic1"/>
    <w:basedOn w:val="35"/>
    <w:qFormat/>
    <w:uiPriority w:val="99"/>
    <w:rPr>
      <w:rFonts w:cs="Times New Roman"/>
    </w:rPr>
  </w:style>
  <w:style w:type="character" w:customStyle="1" w:styleId="61">
    <w:name w:val="bds_nopic2"/>
    <w:basedOn w:val="35"/>
    <w:qFormat/>
    <w:uiPriority w:val="99"/>
    <w:rPr>
      <w:rFonts w:cs="Times New Roman"/>
    </w:rPr>
  </w:style>
  <w:style w:type="paragraph" w:customStyle="1" w:styleId="62">
    <w:name w:val="hypr"/>
    <w:basedOn w:val="1"/>
    <w:qFormat/>
    <w:uiPriority w:val="99"/>
  </w:style>
  <w:style w:type="character" w:customStyle="1" w:styleId="63">
    <w:name w:val="bds_more3"/>
    <w:basedOn w:val="35"/>
    <w:qFormat/>
    <w:uiPriority w:val="99"/>
    <w:rPr>
      <w:rFonts w:cs="Times New Roman"/>
    </w:rPr>
  </w:style>
  <w:style w:type="character" w:customStyle="1" w:styleId="64">
    <w:name w:val="bds_more4"/>
    <w:basedOn w:val="35"/>
    <w:qFormat/>
    <w:uiPriority w:val="99"/>
    <w:rPr>
      <w:rFonts w:cs="Times New Roman"/>
    </w:rPr>
  </w:style>
  <w:style w:type="paragraph" w:customStyle="1" w:styleId="65">
    <w:name w:val="列出段落1"/>
    <w:basedOn w:val="1"/>
    <w:qFormat/>
    <w:uiPriority w:val="99"/>
    <w:pPr>
      <w:ind w:firstLine="420"/>
    </w:pPr>
  </w:style>
  <w:style w:type="character" w:customStyle="1" w:styleId="66">
    <w:name w:val="批注框文本 字符"/>
    <w:basedOn w:val="35"/>
    <w:link w:val="22"/>
    <w:semiHidden/>
    <w:qFormat/>
    <w:uiPriority w:val="99"/>
    <w:rPr>
      <w:kern w:val="2"/>
      <w:sz w:val="18"/>
      <w:szCs w:val="18"/>
    </w:rPr>
  </w:style>
  <w:style w:type="character" w:customStyle="1" w:styleId="67">
    <w:name w:val="文档结构图 字符"/>
    <w:basedOn w:val="35"/>
    <w:link w:val="9"/>
    <w:semiHidden/>
    <w:qFormat/>
    <w:uiPriority w:val="99"/>
    <w:rPr>
      <w:rFonts w:ascii="宋体"/>
      <w:kern w:val="2"/>
      <w:sz w:val="18"/>
      <w:szCs w:val="18"/>
    </w:rPr>
  </w:style>
  <w:style w:type="character" w:customStyle="1" w:styleId="68">
    <w:name w:val="标题 4 字符"/>
    <w:basedOn w:val="35"/>
    <w:link w:val="6"/>
    <w:qFormat/>
    <w:uiPriority w:val="0"/>
    <w:rPr>
      <w:rFonts w:ascii="Arial" w:hAnsi="Arial" w:eastAsia="黑体"/>
      <w:b/>
      <w:bCs/>
      <w:kern w:val="2"/>
      <w:sz w:val="28"/>
      <w:szCs w:val="28"/>
    </w:rPr>
  </w:style>
  <w:style w:type="character" w:customStyle="1" w:styleId="69">
    <w:name w:val="日期 字符"/>
    <w:basedOn w:val="35"/>
    <w:link w:val="21"/>
    <w:semiHidden/>
    <w:qFormat/>
    <w:uiPriority w:val="99"/>
    <w:rPr>
      <w:kern w:val="2"/>
      <w:sz w:val="21"/>
    </w:rPr>
  </w:style>
  <w:style w:type="paragraph" w:customStyle="1" w:styleId="70">
    <w:name w:val="列表段落1"/>
    <w:basedOn w:val="1"/>
    <w:qFormat/>
    <w:uiPriority w:val="34"/>
    <w:pPr>
      <w:ind w:firstLine="420"/>
    </w:pPr>
  </w:style>
  <w:style w:type="character" w:customStyle="1" w:styleId="71">
    <w:name w:val="标题 1 字符"/>
    <w:basedOn w:val="35"/>
    <w:link w:val="3"/>
    <w:qFormat/>
    <w:uiPriority w:val="0"/>
    <w:rPr>
      <w:rFonts w:eastAsia="黑体"/>
      <w:bCs/>
      <w:kern w:val="44"/>
      <w:sz w:val="28"/>
      <w:szCs w:val="44"/>
    </w:rPr>
  </w:style>
  <w:style w:type="paragraph" w:customStyle="1" w:styleId="72">
    <w:name w:val="JD1-正文"/>
    <w:basedOn w:val="1"/>
    <w:link w:val="73"/>
    <w:qFormat/>
    <w:uiPriority w:val="0"/>
    <w:pPr>
      <w:spacing w:line="360" w:lineRule="auto"/>
      <w:ind w:firstLine="480"/>
    </w:pPr>
    <w:rPr>
      <w:snapToGrid w:val="0"/>
      <w:lang w:val="zh-CN"/>
    </w:rPr>
  </w:style>
  <w:style w:type="character" w:customStyle="1" w:styleId="73">
    <w:name w:val="JD1-正文 Char"/>
    <w:link w:val="72"/>
    <w:qFormat/>
    <w:uiPriority w:val="0"/>
    <w:rPr>
      <w:rFonts w:ascii="宋体" w:hAnsi="宋体"/>
      <w:snapToGrid w:val="0"/>
      <w:kern w:val="2"/>
      <w:sz w:val="24"/>
      <w:szCs w:val="24"/>
      <w:lang w:val="zh-CN"/>
    </w:rPr>
  </w:style>
  <w:style w:type="character" w:customStyle="1" w:styleId="74">
    <w:name w:val="批注文字 字符"/>
    <w:basedOn w:val="35"/>
    <w:link w:val="11"/>
    <w:semiHidden/>
    <w:qFormat/>
    <w:uiPriority w:val="99"/>
    <w:rPr>
      <w:kern w:val="2"/>
      <w:sz w:val="21"/>
    </w:rPr>
  </w:style>
  <w:style w:type="character" w:customStyle="1" w:styleId="75">
    <w:name w:val="批注主题 字符"/>
    <w:basedOn w:val="74"/>
    <w:link w:val="31"/>
    <w:semiHidden/>
    <w:qFormat/>
    <w:uiPriority w:val="99"/>
    <w:rPr>
      <w:b/>
      <w:bCs/>
      <w:kern w:val="2"/>
      <w:sz w:val="21"/>
    </w:rPr>
  </w:style>
  <w:style w:type="character" w:customStyle="1" w:styleId="76">
    <w:name w:val="正文文本 3 字符"/>
    <w:basedOn w:val="35"/>
    <w:link w:val="12"/>
    <w:semiHidden/>
    <w:qFormat/>
    <w:uiPriority w:val="0"/>
    <w:rPr>
      <w:rFonts w:ascii="宋体"/>
      <w:kern w:val="2"/>
      <w:sz w:val="24"/>
    </w:rPr>
  </w:style>
  <w:style w:type="character" w:customStyle="1" w:styleId="77">
    <w:name w:val="标题 3 字符"/>
    <w:basedOn w:val="35"/>
    <w:link w:val="5"/>
    <w:semiHidden/>
    <w:qFormat/>
    <w:uiPriority w:val="0"/>
    <w:rPr>
      <w:rFonts w:eastAsia="仿宋_GB2312"/>
      <w:b/>
      <w:bCs/>
      <w:kern w:val="2"/>
      <w:sz w:val="28"/>
      <w:szCs w:val="32"/>
    </w:rPr>
  </w:style>
  <w:style w:type="character" w:customStyle="1" w:styleId="78">
    <w:name w:val="正文文本 字符"/>
    <w:basedOn w:val="35"/>
    <w:link w:val="13"/>
    <w:semiHidden/>
    <w:qFormat/>
    <w:uiPriority w:val="99"/>
    <w:rPr>
      <w:kern w:val="2"/>
      <w:sz w:val="21"/>
    </w:rPr>
  </w:style>
  <w:style w:type="character" w:customStyle="1" w:styleId="79">
    <w:name w:val="齐鲁正文 字符"/>
    <w:link w:val="80"/>
    <w:qFormat/>
    <w:locked/>
    <w:uiPriority w:val="0"/>
    <w:rPr>
      <w:rFonts w:ascii="仿宋_GB2312" w:hAnsi="微软雅黑" w:eastAsia="仿宋_GB2312"/>
      <w:bCs/>
      <w:kern w:val="2"/>
      <w:sz w:val="32"/>
      <w:szCs w:val="30"/>
    </w:rPr>
  </w:style>
  <w:style w:type="paragraph" w:customStyle="1" w:styleId="80">
    <w:name w:val="齐鲁正文"/>
    <w:basedOn w:val="1"/>
    <w:link w:val="79"/>
    <w:qFormat/>
    <w:uiPriority w:val="0"/>
    <w:pPr>
      <w:adjustRightInd w:val="0"/>
      <w:snapToGrid w:val="0"/>
      <w:ind w:firstLine="640"/>
    </w:pPr>
    <w:rPr>
      <w:rFonts w:ascii="仿宋_GB2312" w:hAnsi="微软雅黑"/>
      <w:bCs/>
      <w:sz w:val="32"/>
      <w:szCs w:val="30"/>
    </w:rPr>
  </w:style>
  <w:style w:type="paragraph" w:customStyle="1" w:styleId="81">
    <w:name w:val="TOC 标题1"/>
    <w:basedOn w:val="3"/>
    <w:next w:val="1"/>
    <w:unhideWhenUsed/>
    <w:qFormat/>
    <w:uiPriority w:val="39"/>
    <w:pPr>
      <w:spacing w:before="240" w:line="259" w:lineRule="auto"/>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82">
    <w:name w:val="图片标注 字符"/>
    <w:link w:val="83"/>
    <w:qFormat/>
    <w:uiPriority w:val="0"/>
    <w:rPr>
      <w:rFonts w:ascii="楷体_GB2312" w:hAnsi="微软雅黑" w:eastAsia="楷体_GB2312"/>
      <w:bCs/>
      <w:kern w:val="2"/>
      <w:sz w:val="28"/>
      <w:szCs w:val="30"/>
    </w:rPr>
  </w:style>
  <w:style w:type="paragraph" w:customStyle="1" w:styleId="83">
    <w:name w:val="图片标注"/>
    <w:basedOn w:val="1"/>
    <w:link w:val="82"/>
    <w:qFormat/>
    <w:uiPriority w:val="0"/>
    <w:pPr>
      <w:adjustRightInd w:val="0"/>
      <w:snapToGrid w:val="0"/>
      <w:spacing w:before="60" w:after="60"/>
      <w:ind w:firstLine="266" w:firstLineChars="95"/>
      <w:jc w:val="center"/>
    </w:pPr>
    <w:rPr>
      <w:rFonts w:ascii="楷体_GB2312" w:hAnsi="微软雅黑" w:eastAsia="楷体_GB2312"/>
      <w:bCs/>
      <w:szCs w:val="30"/>
    </w:rPr>
  </w:style>
  <w:style w:type="character" w:customStyle="1" w:styleId="84">
    <w:name w:val="齐鲁3级 字符"/>
    <w:link w:val="85"/>
    <w:qFormat/>
    <w:uiPriority w:val="0"/>
    <w:rPr>
      <w:rFonts w:ascii="楷体_GB2312" w:hAnsi="微软雅黑" w:eastAsia="楷体_GB2312"/>
      <w:bCs/>
      <w:kern w:val="2"/>
      <w:sz w:val="32"/>
      <w:szCs w:val="30"/>
    </w:rPr>
  </w:style>
  <w:style w:type="paragraph" w:customStyle="1" w:styleId="85">
    <w:name w:val="齐鲁3级"/>
    <w:basedOn w:val="1"/>
    <w:link w:val="84"/>
    <w:qFormat/>
    <w:uiPriority w:val="0"/>
    <w:pPr>
      <w:adjustRightInd w:val="0"/>
      <w:snapToGrid w:val="0"/>
      <w:ind w:left="1360" w:hanging="720"/>
      <w:outlineLvl w:val="2"/>
    </w:pPr>
    <w:rPr>
      <w:rFonts w:ascii="楷体_GB2312" w:hAnsi="微软雅黑" w:eastAsia="楷体_GB2312"/>
      <w:bCs/>
      <w:sz w:val="32"/>
      <w:szCs w:val="30"/>
    </w:rPr>
  </w:style>
  <w:style w:type="character" w:customStyle="1" w:styleId="86">
    <w:name w:val="未处理的提及1"/>
    <w:basedOn w:val="35"/>
    <w:unhideWhenUsed/>
    <w:qFormat/>
    <w:uiPriority w:val="99"/>
    <w:rPr>
      <w:color w:val="605E5C"/>
      <w:shd w:val="clear" w:color="auto" w:fill="E1DFDD"/>
    </w:rPr>
  </w:style>
  <w:style w:type="paragraph" w:customStyle="1" w:styleId="87">
    <w:name w:val="修订1"/>
    <w:hidden/>
    <w:semiHidden/>
    <w:qFormat/>
    <w:uiPriority w:val="99"/>
    <w:rPr>
      <w:rFonts w:ascii="Times New Roman" w:hAnsi="Times New Roman" w:eastAsia="仿宋_GB2312" w:cs="Times New Roman"/>
      <w:kern w:val="2"/>
      <w:sz w:val="28"/>
      <w:lang w:val="en-US" w:eastAsia="zh-CN" w:bidi="ar-SA"/>
    </w:rPr>
  </w:style>
  <w:style w:type="character" w:customStyle="1" w:styleId="88">
    <w:name w:val="正文文本缩进 字符"/>
    <w:basedOn w:val="35"/>
    <w:link w:val="15"/>
    <w:qFormat/>
    <w:uiPriority w:val="0"/>
    <w:rPr>
      <w:rFonts w:asciiTheme="minorHAnsi" w:hAnsiTheme="minorHAnsi" w:eastAsiaTheme="minorEastAsia"/>
      <w:kern w:val="2"/>
      <w:sz w:val="21"/>
      <w:szCs w:val="22"/>
    </w:rPr>
  </w:style>
  <w:style w:type="character" w:customStyle="1" w:styleId="89">
    <w:name w:val="未处理的提及2"/>
    <w:basedOn w:val="35"/>
    <w:unhideWhenUsed/>
    <w:qFormat/>
    <w:uiPriority w:val="99"/>
    <w:rPr>
      <w:color w:val="605E5C"/>
      <w:shd w:val="clear" w:color="auto" w:fill="E1DFDD"/>
    </w:rPr>
  </w:style>
  <w:style w:type="paragraph" w:customStyle="1" w:styleId="90">
    <w:name w:val="修订2"/>
    <w:hidden/>
    <w:semiHidden/>
    <w:qFormat/>
    <w:uiPriority w:val="99"/>
    <w:rPr>
      <w:rFonts w:ascii="Times New Roman" w:hAnsi="Times New Roman" w:eastAsia="仿宋_GB2312" w:cs="Times New Roman"/>
      <w:kern w:val="2"/>
      <w:sz w:val="28"/>
      <w:lang w:val="en-US" w:eastAsia="zh-CN" w:bidi="ar-SA"/>
    </w:rPr>
  </w:style>
  <w:style w:type="paragraph" w:customStyle="1" w:styleId="91">
    <w:name w:val="修订3"/>
    <w:hidden/>
    <w:semiHidden/>
    <w:qFormat/>
    <w:uiPriority w:val="99"/>
    <w:rPr>
      <w:rFonts w:ascii="Times New Roman" w:hAnsi="Times New Roman" w:eastAsia="仿宋_GB2312" w:cs="Times New Roman"/>
      <w:kern w:val="2"/>
      <w:sz w:val="28"/>
      <w:lang w:val="en-US" w:eastAsia="zh-CN" w:bidi="ar-SA"/>
    </w:rPr>
  </w:style>
  <w:style w:type="paragraph" w:customStyle="1" w:styleId="92">
    <w:name w:val="列表段落2"/>
    <w:basedOn w:val="1"/>
    <w:qFormat/>
    <w:uiPriority w:val="34"/>
    <w:pPr>
      <w:ind w:firstLine="420"/>
    </w:pPr>
    <w:rPr>
      <w:sz w:val="21"/>
    </w:rPr>
  </w:style>
  <w:style w:type="paragraph" w:customStyle="1" w:styleId="9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修订4"/>
    <w:hidden/>
    <w:semiHidden/>
    <w:qFormat/>
    <w:uiPriority w:val="99"/>
    <w:rPr>
      <w:rFonts w:ascii="Times New Roman" w:hAnsi="Times New Roman" w:eastAsia="仿宋_GB2312" w:cs="Times New Roman"/>
      <w:kern w:val="2"/>
      <w:sz w:val="28"/>
      <w:lang w:val="en-US" w:eastAsia="zh-CN" w:bidi="ar-SA"/>
    </w:rPr>
  </w:style>
  <w:style w:type="paragraph" w:customStyle="1" w:styleId="95">
    <w:name w:val="修订5"/>
    <w:hidden/>
    <w:semiHidden/>
    <w:qFormat/>
    <w:uiPriority w:val="99"/>
    <w:rPr>
      <w:rFonts w:ascii="Times New Roman" w:hAnsi="Times New Roman" w:eastAsia="仿宋_GB2312" w:cs="Times New Roman"/>
      <w:kern w:val="2"/>
      <w:sz w:val="28"/>
      <w:lang w:val="en-US" w:eastAsia="zh-CN" w:bidi="ar-SA"/>
    </w:rPr>
  </w:style>
  <w:style w:type="paragraph" w:styleId="96">
    <w:name w:val="List Paragraph"/>
    <w:basedOn w:val="1"/>
    <w:qFormat/>
    <w:uiPriority w:val="99"/>
    <w:pPr>
      <w:ind w:firstLine="420"/>
    </w:pPr>
  </w:style>
  <w:style w:type="paragraph" w:customStyle="1" w:styleId="97">
    <w:name w:val="电建正文"/>
    <w:basedOn w:val="1"/>
    <w:link w:val="98"/>
    <w:qFormat/>
    <w:uiPriority w:val="0"/>
    <w:pPr>
      <w:tabs>
        <w:tab w:val="left" w:pos="720"/>
      </w:tabs>
      <w:overflowPunct w:val="0"/>
      <w:autoSpaceDE w:val="0"/>
      <w:autoSpaceDN w:val="0"/>
      <w:spacing w:line="360" w:lineRule="auto"/>
      <w:ind w:firstLine="200"/>
    </w:pPr>
    <w:rPr>
      <w:rFonts w:ascii="Tahoma" w:hAnsi="Tahoma" w:eastAsiaTheme="minorEastAsia" w:cstheme="minorBidi"/>
    </w:rPr>
  </w:style>
  <w:style w:type="character" w:customStyle="1" w:styleId="98">
    <w:name w:val="电建正文 字符"/>
    <w:basedOn w:val="35"/>
    <w:link w:val="97"/>
    <w:qFormat/>
    <w:uiPriority w:val="0"/>
    <w:rPr>
      <w:rFonts w:ascii="Tahoma" w:hAnsi="Tahoma"/>
      <w:sz w:val="28"/>
      <w:szCs w:val="24"/>
    </w:rPr>
  </w:style>
  <w:style w:type="paragraph" w:customStyle="1" w:styleId="99">
    <w:name w:val="TJ大写加粗数字"/>
    <w:basedOn w:val="1"/>
    <w:qFormat/>
    <w:uiPriority w:val="0"/>
    <w:pPr>
      <w:numPr>
        <w:ilvl w:val="0"/>
        <w:numId w:val="2"/>
      </w:numPr>
      <w:ind w:firstLine="0"/>
    </w:pPr>
  </w:style>
  <w:style w:type="character" w:customStyle="1" w:styleId="100">
    <w:name w:val="不明显强调1"/>
    <w:basedOn w:val="35"/>
    <w:qFormat/>
    <w:uiPriority w:val="19"/>
    <w:rPr>
      <w:i/>
      <w:iCs/>
      <w:color w:val="404040" w:themeColor="text1" w:themeTint="BF"/>
      <w14:textFill>
        <w14:solidFill>
          <w14:schemeClr w14:val="tx1">
            <w14:lumMod w14:val="75000"/>
            <w14:lumOff w14:val="25000"/>
          </w14:schemeClr>
        </w14:solidFill>
      </w14:textFill>
    </w:rPr>
  </w:style>
  <w:style w:type="paragraph" w:customStyle="1" w:styleId="101">
    <w:name w:val="修订6"/>
    <w:hidden/>
    <w:semiHidden/>
    <w:qFormat/>
    <w:uiPriority w:val="99"/>
    <w:rPr>
      <w:rFonts w:ascii="Times New Roman" w:hAnsi="Times New Roman" w:eastAsia="仿宋_GB2312" w:cs="Times New Roman"/>
      <w:kern w:val="2"/>
      <w:sz w:val="28"/>
      <w:lang w:val="en-US" w:eastAsia="zh-CN" w:bidi="ar-SA"/>
    </w:rPr>
  </w:style>
  <w:style w:type="paragraph" w:customStyle="1" w:styleId="102">
    <w:name w:val="修订7"/>
    <w:hidden/>
    <w:semiHidden/>
    <w:qFormat/>
    <w:uiPriority w:val="99"/>
    <w:rPr>
      <w:rFonts w:ascii="Times New Roman" w:hAnsi="Times New Roman" w:eastAsia="仿宋_GB2312" w:cs="Times New Roman"/>
      <w:kern w:val="2"/>
      <w:sz w:val="28"/>
      <w:lang w:val="en-US" w:eastAsia="zh-CN" w:bidi="ar-SA"/>
    </w:rPr>
  </w:style>
  <w:style w:type="paragraph" w:customStyle="1" w:styleId="103">
    <w:name w:val="修订8"/>
    <w:hidden/>
    <w:unhideWhenUsed/>
    <w:qFormat/>
    <w:uiPriority w:val="99"/>
    <w:rPr>
      <w:rFonts w:ascii="Times New Roman" w:hAnsi="Times New Roman" w:eastAsia="仿宋_GB2312" w:cs="Times New Roman"/>
      <w:kern w:val="2"/>
      <w:sz w:val="28"/>
      <w:lang w:val="en-US" w:eastAsia="zh-CN" w:bidi="ar-SA"/>
    </w:rPr>
  </w:style>
  <w:style w:type="paragraph" w:customStyle="1" w:styleId="104">
    <w:name w:val="修订9"/>
    <w:hidden/>
    <w:semiHidden/>
    <w:qFormat/>
    <w:uiPriority w:val="99"/>
    <w:rPr>
      <w:rFonts w:ascii="Times New Roman" w:hAnsi="Times New Roman" w:eastAsia="仿宋_GB2312" w:cs="Times New Roman"/>
      <w:kern w:val="2"/>
      <w:sz w:val="28"/>
      <w:lang w:val="en-US" w:eastAsia="zh-CN" w:bidi="ar-SA"/>
    </w:rPr>
  </w:style>
  <w:style w:type="character" w:customStyle="1" w:styleId="105">
    <w:name w:val="Char Char1 Char Char"/>
    <w:link w:val="106"/>
    <w:qFormat/>
    <w:uiPriority w:val="0"/>
    <w:rPr>
      <w:rFonts w:ascii="Tahoma" w:hAnsi="Tahoma"/>
      <w:sz w:val="44"/>
      <w:szCs w:val="24"/>
    </w:rPr>
  </w:style>
  <w:style w:type="paragraph" w:customStyle="1" w:styleId="106">
    <w:name w:val="Char Char1"/>
    <w:next w:val="29"/>
    <w:link w:val="105"/>
    <w:qFormat/>
    <w:uiPriority w:val="0"/>
    <w:pPr>
      <w:jc w:val="center"/>
    </w:pPr>
    <w:rPr>
      <w:rFonts w:ascii="Tahoma" w:hAnsi="Tahoma" w:eastAsiaTheme="minorEastAsia" w:cstheme="minorBidi"/>
      <w:sz w:val="44"/>
      <w:szCs w:val="24"/>
      <w:lang w:val="en-US" w:eastAsia="zh-CN" w:bidi="ar-SA"/>
    </w:rPr>
  </w:style>
  <w:style w:type="character" w:customStyle="1" w:styleId="107">
    <w:name w:val="正文文本 2 字符"/>
    <w:basedOn w:val="35"/>
    <w:link w:val="29"/>
    <w:semiHidden/>
    <w:qFormat/>
    <w:uiPriority w:val="99"/>
    <w:rPr>
      <w:rFonts w:eastAsia="仿宋_GB2312" w:cs="Times New Roman"/>
      <w:kern w:val="2"/>
      <w:sz w:val="28"/>
    </w:rPr>
  </w:style>
  <w:style w:type="paragraph" w:customStyle="1" w:styleId="108">
    <w:name w:val="_Style 101"/>
    <w:basedOn w:val="1"/>
    <w:next w:val="96"/>
    <w:link w:val="109"/>
    <w:qFormat/>
    <w:uiPriority w:val="34"/>
    <w:pPr>
      <w:ind w:firstLine="420"/>
    </w:pPr>
    <w:rPr>
      <w:sz w:val="21"/>
    </w:rPr>
  </w:style>
  <w:style w:type="character" w:customStyle="1" w:styleId="109">
    <w:name w:val="列表段落 字符"/>
    <w:link w:val="108"/>
    <w:qFormat/>
    <w:locked/>
    <w:uiPriority w:val="34"/>
    <w:rPr>
      <w:rFonts w:ascii="Times New Roman" w:hAnsi="Times New Roman"/>
      <w:kern w:val="2"/>
      <w:sz w:val="21"/>
      <w:szCs w:val="24"/>
    </w:rPr>
  </w:style>
  <w:style w:type="character" w:customStyle="1" w:styleId="110">
    <w:name w:val="正文文本首行缩进 2 字符"/>
    <w:basedOn w:val="88"/>
    <w:link w:val="16"/>
    <w:semiHidden/>
    <w:qFormat/>
    <w:uiPriority w:val="99"/>
    <w:rPr>
      <w:rFonts w:eastAsia="仿宋_GB2312" w:cs="Times New Roman" w:asciiTheme="minorHAnsi" w:hAnsiTheme="minorHAnsi"/>
      <w:kern w:val="2"/>
      <w:sz w:val="28"/>
      <w:szCs w:val="22"/>
    </w:rPr>
  </w:style>
  <w:style w:type="paragraph" w:customStyle="1" w:styleId="111">
    <w:name w:val="正文格式"/>
    <w:basedOn w:val="13"/>
    <w:qFormat/>
    <w:uiPriority w:val="0"/>
    <w:pPr>
      <w:spacing w:line="360" w:lineRule="auto"/>
      <w:ind w:firstLine="200"/>
    </w:pPr>
  </w:style>
  <w:style w:type="paragraph" w:customStyle="1" w:styleId="112">
    <w:name w:val="ZL居左图表"/>
    <w:basedOn w:val="1"/>
    <w:qFormat/>
    <w:uiPriority w:val="0"/>
    <w:pPr>
      <w:jc w:val="center"/>
    </w:pPr>
    <w:rPr>
      <w:sz w:val="21"/>
    </w:rPr>
  </w:style>
  <w:style w:type="table" w:customStyle="1" w:styleId="113">
    <w:name w:val="Table Normal"/>
    <w:unhideWhenUsed/>
    <w:qFormat/>
    <w:uiPriority w:val="2"/>
    <w:tblPr>
      <w:tblCellMar>
        <w:top w:w="0" w:type="dxa"/>
        <w:left w:w="0" w:type="dxa"/>
        <w:bottom w:w="0" w:type="dxa"/>
        <w:right w:w="0" w:type="dxa"/>
      </w:tblCellMar>
    </w:tblPr>
  </w:style>
  <w:style w:type="paragraph" w:customStyle="1" w:styleId="114">
    <w:name w:val="表内文"/>
    <w:basedOn w:val="1"/>
    <w:qFormat/>
    <w:uiPriority w:val="0"/>
    <w:pPr>
      <w:spacing w:before="96" w:beforeLines="40"/>
      <w:jc w:val="center"/>
    </w:pPr>
    <w:rPr>
      <w:color w:val="FF0000"/>
      <w:sz w:val="21"/>
      <w:szCs w:val="21"/>
    </w:rPr>
  </w:style>
  <w:style w:type="paragraph" w:customStyle="1" w:styleId="115">
    <w:name w:val="修订10"/>
    <w:hidden/>
    <w:semiHidden/>
    <w:qFormat/>
    <w:uiPriority w:val="99"/>
    <w:rPr>
      <w:rFonts w:ascii="Times New Roman" w:hAnsi="Times New Roman" w:eastAsia="仿宋_GB2312" w:cs="Times New Roman"/>
      <w:kern w:val="2"/>
      <w:sz w:val="28"/>
      <w:lang w:val="en-US" w:eastAsia="zh-CN" w:bidi="ar-SA"/>
    </w:rPr>
  </w:style>
  <w:style w:type="character" w:customStyle="1" w:styleId="116">
    <w:name w:val="font51"/>
    <w:qFormat/>
    <w:uiPriority w:val="99"/>
    <w:rPr>
      <w:rFonts w:ascii="Arial" w:hAnsi="Arial" w:cs="Arial"/>
      <w:b/>
      <w:bCs/>
      <w:color w:val="000000"/>
      <w:sz w:val="22"/>
      <w:szCs w:val="22"/>
      <w:u w:val="none"/>
    </w:rPr>
  </w:style>
  <w:style w:type="character" w:customStyle="1" w:styleId="117">
    <w:name w:val="font31"/>
    <w:qFormat/>
    <w:uiPriority w:val="99"/>
    <w:rPr>
      <w:rFonts w:ascii="宋体" w:hAnsi="宋体" w:eastAsia="宋体" w:cs="宋体"/>
      <w:b/>
      <w:bCs/>
      <w:color w:val="000000"/>
      <w:sz w:val="22"/>
      <w:szCs w:val="22"/>
      <w:u w:val="none"/>
    </w:rPr>
  </w:style>
  <w:style w:type="paragraph" w:customStyle="1" w:styleId="118">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customStyle="1" w:styleId="119">
    <w:name w:val="First Paragraph"/>
    <w:basedOn w:val="13"/>
    <w:next w:val="13"/>
    <w:qFormat/>
    <w:uiPriority w:val="0"/>
    <w:pPr>
      <w:spacing w:before="180" w:after="180"/>
    </w:pPr>
    <w:rPr>
      <w:rFonts w:asciiTheme="minorHAnsi" w:hAnsiTheme="minorHAnsi" w:cstheme="minorBidi"/>
      <w:sz w:val="32"/>
      <w:lang w:eastAsia="en-US"/>
    </w:rPr>
  </w:style>
  <w:style w:type="paragraph" w:customStyle="1" w:styleId="120">
    <w:name w:val="Fee Table Heading"/>
    <w:basedOn w:val="1"/>
    <w:qFormat/>
    <w:uiPriority w:val="0"/>
    <w:pPr>
      <w:framePr w:wrap="around" w:vAnchor="text" w:hAnchor="text" w:y="1"/>
      <w:ind w:left="57" w:right="57"/>
      <w:jc w:val="center"/>
    </w:pPr>
    <w:rPr>
      <w:rFonts w:ascii="Georgia" w:hAnsi="Georgia"/>
      <w:sz w:val="22"/>
      <w:szCs w:val="22"/>
      <w:u w:val="single"/>
      <w:lang w:val="en-GB"/>
    </w:rPr>
  </w:style>
  <w:style w:type="paragraph" w:customStyle="1" w:styleId="121">
    <w:name w:val="Fee Table Body 1"/>
    <w:basedOn w:val="1"/>
    <w:qFormat/>
    <w:uiPriority w:val="0"/>
    <w:pPr>
      <w:ind w:left="57" w:right="57"/>
    </w:pPr>
    <w:rPr>
      <w:rFonts w:ascii="Georgia" w:hAnsi="Georgia"/>
      <w:sz w:val="22"/>
      <w:lang w:val="en-GB"/>
    </w:rPr>
  </w:style>
  <w:style w:type="character" w:customStyle="1" w:styleId="122">
    <w:name w:val="正文缩进 字符"/>
    <w:link w:val="8"/>
    <w:qFormat/>
    <w:uiPriority w:val="0"/>
    <w:rPr>
      <w:rFonts w:ascii="宋体" w:eastAsia="宋体" w:cs="Times New Roman"/>
      <w:sz w:val="24"/>
    </w:rPr>
  </w:style>
  <w:style w:type="paragraph" w:customStyle="1" w:styleId="123">
    <w:name w:val="修订11"/>
    <w:hidden/>
    <w:unhideWhenUsed/>
    <w:qFormat/>
    <w:uiPriority w:val="99"/>
    <w:rPr>
      <w:rFonts w:ascii="Times New Roman" w:hAnsi="Times New Roman" w:eastAsia="仿宋_GB2312" w:cs="Times New Roman"/>
      <w:kern w:val="2"/>
      <w:sz w:val="28"/>
      <w:lang w:val="en-US" w:eastAsia="zh-CN" w:bidi="ar-SA"/>
    </w:rPr>
  </w:style>
  <w:style w:type="paragraph" w:customStyle="1" w:styleId="124">
    <w:name w:val="修订12"/>
    <w:hidden/>
    <w:unhideWhenUsed/>
    <w:qFormat/>
    <w:uiPriority w:val="99"/>
    <w:rPr>
      <w:rFonts w:ascii="Times New Roman" w:hAnsi="Times New Roman" w:eastAsia="仿宋_GB2312" w:cs="Times New Roman"/>
      <w:kern w:val="2"/>
      <w:sz w:val="28"/>
      <w:lang w:val="en-US" w:eastAsia="zh-CN" w:bidi="ar-SA"/>
    </w:rPr>
  </w:style>
  <w:style w:type="paragraph" w:customStyle="1" w:styleId="125">
    <w:name w:val="Table Paragraph"/>
    <w:basedOn w:val="1"/>
    <w:qFormat/>
    <w:uiPriority w:val="1"/>
    <w:rPr>
      <w:sz w:val="22"/>
      <w:szCs w:val="22"/>
      <w:lang w:eastAsia="en-US"/>
    </w:rPr>
  </w:style>
  <w:style w:type="character" w:customStyle="1" w:styleId="126">
    <w:name w:val="正文文本首行缩进 字符"/>
    <w:basedOn w:val="78"/>
    <w:link w:val="32"/>
    <w:semiHidden/>
    <w:qFormat/>
    <w:uiPriority w:val="99"/>
    <w:rPr>
      <w:rFonts w:eastAsia="仿宋_GB2312"/>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5.wmf"/><Relationship Id="rId24" Type="http://schemas.openxmlformats.org/officeDocument/2006/relationships/oleObject" Target="embeddings/oleObject5.bin"/><Relationship Id="rId23" Type="http://schemas.openxmlformats.org/officeDocument/2006/relationships/image" Target="media/image4.wmf"/><Relationship Id="rId22" Type="http://schemas.openxmlformats.org/officeDocument/2006/relationships/oleObject" Target="embeddings/oleObject4.bin"/><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159</Pages>
  <Words>6838</Words>
  <Characters>7852</Characters>
  <Lines>101</Lines>
  <Paragraphs>28</Paragraphs>
  <TotalTime>2</TotalTime>
  <ScaleCrop>false</ScaleCrop>
  <LinksUpToDate>false</LinksUpToDate>
  <CharactersWithSpaces>8614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2023-12-16T11:40:00Z</dcterms:created>
  <dc:creator>Administrator</dc:creator>
  <cp:lastModifiedBy>86178</cp:lastModifiedBy>
  <cp:lastPrinted>2025-03-13T02:48:00Z</cp:lastPrinted>
  <dcterms:modified xsi:type="dcterms:W3CDTF">2025-07-01T06:32:05Z</dcterms:modified>
  <cp:revision>655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AD1553D800C343BCA95E3CCA23881B2E</vt:lpwstr>
  </property>
  <property fmtid="{D5CDD505-2E9C-101B-9397-08002B2CF9AE}" pid="4" name="KSOTemplateDocerSaveRecord">
    <vt:lpwstr>eyJoZGlkIjoiMzBiMDY5YjliMmQ3ZGI5Y2VlMzU4YzIzZDU0YzE3MmEiLCJ1c2VySWQiOiI0NjE4NjQwMTgifQ==</vt:lpwstr>
  </property>
</Properties>
</file>